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A49" w:rsidRPr="00BE4FFB" w:rsidRDefault="00E06A49" w:rsidP="00E06A49">
      <w:pPr>
        <w:spacing w:line="360" w:lineRule="auto"/>
        <w:jc w:val="both"/>
        <w:rPr>
          <w:rFonts w:ascii="Arial" w:hAnsi="Arial" w:cs="Arial"/>
          <w:b/>
          <w:bCs/>
          <w:sz w:val="28"/>
        </w:rPr>
      </w:pPr>
      <w:bookmarkStart w:id="0" w:name="OLE_LINK4"/>
      <w:bookmarkStart w:id="1" w:name="OLE_LINK5"/>
      <w:r w:rsidRPr="00BE4FFB">
        <w:rPr>
          <w:rFonts w:ascii="Arial" w:hAnsi="Arial" w:cs="Arial"/>
          <w:b/>
          <w:sz w:val="28"/>
        </w:rPr>
        <w:t xml:space="preserve">User Consultation of </w:t>
      </w:r>
      <w:r w:rsidRPr="00BE4FFB">
        <w:rPr>
          <w:rFonts w:ascii="Arial" w:hAnsi="Arial" w:cs="Arial"/>
          <w:b/>
          <w:bCs/>
          <w:sz w:val="28"/>
        </w:rPr>
        <w:t>Northern Ireland Road</w:t>
      </w:r>
      <w:r>
        <w:rPr>
          <w:rFonts w:ascii="Arial" w:hAnsi="Arial" w:cs="Arial"/>
          <w:b/>
          <w:bCs/>
          <w:sz w:val="28"/>
        </w:rPr>
        <w:t xml:space="preserve"> Safety Strategy to 2020 Statistical Report</w:t>
      </w:r>
      <w:r w:rsidR="00004633">
        <w:rPr>
          <w:rFonts w:ascii="Arial" w:hAnsi="Arial" w:cs="Arial"/>
          <w:b/>
          <w:bCs/>
          <w:sz w:val="28"/>
        </w:rPr>
        <w:t xml:space="preserve"> – Upcoming Change</w:t>
      </w:r>
      <w:r w:rsidR="005E1364">
        <w:rPr>
          <w:rFonts w:ascii="Arial" w:hAnsi="Arial" w:cs="Arial"/>
          <w:b/>
          <w:bCs/>
          <w:sz w:val="28"/>
        </w:rPr>
        <w:t>s</w:t>
      </w:r>
      <w:r w:rsidR="00004633">
        <w:rPr>
          <w:rFonts w:ascii="Arial" w:hAnsi="Arial" w:cs="Arial"/>
          <w:b/>
          <w:bCs/>
          <w:sz w:val="28"/>
        </w:rPr>
        <w:t xml:space="preserve"> to the Publication</w:t>
      </w:r>
      <w:bookmarkEnd w:id="0"/>
      <w:bookmarkEnd w:id="1"/>
    </w:p>
    <w:p w:rsidR="00E06A49" w:rsidRPr="00BE4FFB" w:rsidRDefault="00E06A49" w:rsidP="00E06A49">
      <w:pPr>
        <w:jc w:val="both"/>
        <w:rPr>
          <w:rFonts w:ascii="Arial" w:hAnsi="Arial" w:cs="Arial"/>
          <w:b/>
          <w:bCs/>
          <w:sz w:val="28"/>
        </w:rPr>
      </w:pPr>
    </w:p>
    <w:p w:rsidR="00E06A49" w:rsidRPr="00DC24D3" w:rsidRDefault="00E06A49" w:rsidP="00E06A49">
      <w:pPr>
        <w:jc w:val="both"/>
        <w:rPr>
          <w:rFonts w:ascii="Arial" w:hAnsi="Arial" w:cs="Arial"/>
          <w:b/>
          <w:bCs/>
          <w:sz w:val="24"/>
        </w:rPr>
      </w:pPr>
      <w:r w:rsidRPr="00DC24D3">
        <w:rPr>
          <w:rFonts w:ascii="Arial" w:hAnsi="Arial" w:cs="Arial"/>
          <w:b/>
          <w:bCs/>
          <w:sz w:val="24"/>
        </w:rPr>
        <w:t>User Feedback Required</w:t>
      </w:r>
    </w:p>
    <w:p w:rsidR="00E06A49" w:rsidRDefault="00E06A49">
      <w:r>
        <w:br w:type="page"/>
      </w:r>
    </w:p>
    <w:p w:rsidR="00E06A49" w:rsidRPr="00157930" w:rsidRDefault="00E06A49" w:rsidP="00E06A49">
      <w:pPr>
        <w:jc w:val="center"/>
        <w:rPr>
          <w:rFonts w:ascii="Arial" w:hAnsi="Arial" w:cs="Arial"/>
          <w:b/>
          <w:bCs/>
        </w:rPr>
      </w:pPr>
      <w:r w:rsidRPr="00157930">
        <w:rPr>
          <w:rFonts w:ascii="Arial" w:hAnsi="Arial" w:cs="Arial"/>
          <w:b/>
          <w:bCs/>
        </w:rPr>
        <w:lastRenderedPageBreak/>
        <w:t>Contents</w:t>
      </w:r>
    </w:p>
    <w:p w:rsidR="00E06A49" w:rsidRDefault="00E06A49" w:rsidP="00E06A49">
      <w:pPr>
        <w:rPr>
          <w:rFonts w:ascii="Arial" w:hAnsi="Arial" w:cs="Arial"/>
          <w:b/>
          <w:bCs/>
        </w:rPr>
      </w:pPr>
    </w:p>
    <w:p w:rsidR="00E06A49" w:rsidRDefault="00E06A49" w:rsidP="00E06A49">
      <w:pPr>
        <w:rPr>
          <w:rFonts w:ascii="Arial" w:hAnsi="Arial" w:cs="Arial"/>
          <w:b/>
          <w:bCs/>
        </w:rPr>
      </w:pPr>
    </w:p>
    <w:p w:rsidR="00E06A49" w:rsidRDefault="00E06A49" w:rsidP="00E06A49">
      <w:pPr>
        <w:rPr>
          <w:rFonts w:ascii="Arial" w:hAnsi="Arial" w:cs="Arial"/>
          <w:b/>
          <w:bCs/>
        </w:rPr>
      </w:pPr>
      <w:r>
        <w:rPr>
          <w:rFonts w:ascii="Arial" w:hAnsi="Arial" w:cs="Arial"/>
          <w:b/>
          <w:bCs/>
        </w:rPr>
        <w:t>Section</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Page</w:t>
      </w:r>
    </w:p>
    <w:p w:rsidR="00E06A49" w:rsidRPr="00BE4FFB" w:rsidRDefault="0096360E" w:rsidP="00E06A49">
      <w:pPr>
        <w:spacing w:before="480" w:after="0" w:line="480" w:lineRule="auto"/>
        <w:rPr>
          <w:rFonts w:ascii="Arial" w:hAnsi="Arial" w:cs="Arial"/>
          <w:bCs/>
        </w:rPr>
      </w:pPr>
      <w:r w:rsidRPr="0096360E">
        <w:rPr>
          <w:rFonts w:ascii="Arial" w:hAnsi="Arial" w:cs="Arial"/>
          <w:b/>
          <w:bCs/>
          <w:noProof/>
          <w:lang w:eastAsia="en-GB"/>
        </w:rPr>
        <w:pict>
          <v:shapetype id="_x0000_t32" coordsize="21600,21600" o:spt="32" o:oned="t" path="m,l21600,21600e" filled="f">
            <v:path arrowok="t" fillok="f" o:connecttype="none"/>
            <o:lock v:ext="edit" shapetype="t"/>
          </v:shapetype>
          <v:shape id="_x0000_s1026" type="#_x0000_t32" style="position:absolute;margin-left:-.75pt;margin-top:-.35pt;width:452.6pt;height:0;z-index:251660288" o:connectortype="straight"/>
        </w:pict>
      </w:r>
      <w:hyperlink w:anchor="Background" w:history="1">
        <w:r w:rsidR="00E06A49" w:rsidRPr="00983FB5">
          <w:rPr>
            <w:rStyle w:val="Hyperlink"/>
            <w:rFonts w:ascii="Arial" w:hAnsi="Arial" w:cs="Arial"/>
            <w:bCs/>
          </w:rPr>
          <w:t>Background</w:t>
        </w:r>
      </w:hyperlink>
      <w:r w:rsidR="00E06A49" w:rsidRPr="00BE4FFB">
        <w:rPr>
          <w:rFonts w:ascii="Arial" w:hAnsi="Arial" w:cs="Arial"/>
          <w:bCs/>
        </w:rPr>
        <w:tab/>
      </w:r>
      <w:r w:rsidR="00E06A49" w:rsidRPr="00BE4FFB">
        <w:rPr>
          <w:rFonts w:ascii="Arial" w:hAnsi="Arial" w:cs="Arial"/>
          <w:bCs/>
        </w:rPr>
        <w:tab/>
      </w:r>
      <w:r w:rsidR="00E06A49" w:rsidRPr="00BE4FFB">
        <w:rPr>
          <w:rFonts w:ascii="Arial" w:hAnsi="Arial" w:cs="Arial"/>
          <w:bCs/>
        </w:rPr>
        <w:tab/>
      </w:r>
      <w:r w:rsidR="00E06A49" w:rsidRPr="00BE4FFB">
        <w:rPr>
          <w:rFonts w:ascii="Arial" w:hAnsi="Arial" w:cs="Arial"/>
          <w:bCs/>
        </w:rPr>
        <w:tab/>
      </w:r>
      <w:r w:rsidR="00E06A49" w:rsidRPr="00BE4FFB">
        <w:rPr>
          <w:rFonts w:ascii="Arial" w:hAnsi="Arial" w:cs="Arial"/>
          <w:bCs/>
        </w:rPr>
        <w:tab/>
      </w:r>
      <w:r w:rsidR="00E06A49" w:rsidRPr="00BE4FFB">
        <w:rPr>
          <w:rFonts w:ascii="Arial" w:hAnsi="Arial" w:cs="Arial"/>
          <w:bCs/>
        </w:rPr>
        <w:tab/>
      </w:r>
      <w:r w:rsidR="00E06A49" w:rsidRPr="00BE4FFB">
        <w:rPr>
          <w:rFonts w:ascii="Arial" w:hAnsi="Arial" w:cs="Arial"/>
          <w:bCs/>
        </w:rPr>
        <w:tab/>
      </w:r>
      <w:r w:rsidR="00E06A49" w:rsidRPr="00BE4FFB">
        <w:rPr>
          <w:rFonts w:ascii="Arial" w:hAnsi="Arial" w:cs="Arial"/>
          <w:bCs/>
        </w:rPr>
        <w:tab/>
      </w:r>
      <w:r w:rsidR="00E06A49" w:rsidRPr="00BE4FFB">
        <w:rPr>
          <w:rFonts w:ascii="Arial" w:hAnsi="Arial" w:cs="Arial"/>
          <w:bCs/>
        </w:rPr>
        <w:tab/>
      </w:r>
      <w:r w:rsidR="00E06A49" w:rsidRPr="00BE4FFB">
        <w:rPr>
          <w:rFonts w:ascii="Arial" w:hAnsi="Arial" w:cs="Arial"/>
          <w:bCs/>
        </w:rPr>
        <w:tab/>
      </w:r>
      <w:r w:rsidR="00E06A49" w:rsidRPr="00BE4FFB">
        <w:rPr>
          <w:rFonts w:ascii="Arial" w:hAnsi="Arial" w:cs="Arial"/>
          <w:bCs/>
        </w:rPr>
        <w:tab/>
      </w:r>
      <w:r w:rsidR="00896F46">
        <w:rPr>
          <w:rFonts w:ascii="Arial" w:hAnsi="Arial" w:cs="Arial"/>
          <w:bCs/>
        </w:rPr>
        <w:t>3</w:t>
      </w:r>
    </w:p>
    <w:p w:rsidR="00E06A49" w:rsidRPr="002C5B92" w:rsidRDefault="0096360E" w:rsidP="00E06A49">
      <w:pPr>
        <w:spacing w:after="0" w:line="480" w:lineRule="auto"/>
        <w:jc w:val="both"/>
        <w:rPr>
          <w:rFonts w:ascii="Arial" w:hAnsi="Arial" w:cs="Arial"/>
        </w:rPr>
      </w:pPr>
      <w:hyperlink w:anchor="NationalStatisticsDesignation" w:history="1">
        <w:r w:rsidR="00E06A49" w:rsidRPr="002C5B92">
          <w:rPr>
            <w:rStyle w:val="Hyperlink"/>
            <w:rFonts w:ascii="Arial" w:hAnsi="Arial" w:cs="Arial"/>
          </w:rPr>
          <w:t>National Statistics Designation</w:t>
        </w:r>
      </w:hyperlink>
      <w:r w:rsidR="00E06A49">
        <w:rPr>
          <w:rFonts w:ascii="Arial" w:hAnsi="Arial" w:cs="Arial"/>
        </w:rPr>
        <w:tab/>
      </w:r>
      <w:r w:rsidR="00E06A49">
        <w:rPr>
          <w:rFonts w:ascii="Arial" w:hAnsi="Arial" w:cs="Arial"/>
        </w:rPr>
        <w:tab/>
      </w:r>
      <w:r w:rsidR="00E06A49">
        <w:rPr>
          <w:rFonts w:ascii="Arial" w:hAnsi="Arial" w:cs="Arial"/>
        </w:rPr>
        <w:tab/>
      </w:r>
      <w:r w:rsidR="00E06A49">
        <w:rPr>
          <w:rFonts w:ascii="Arial" w:hAnsi="Arial" w:cs="Arial"/>
        </w:rPr>
        <w:tab/>
      </w:r>
      <w:r w:rsidR="00E06A49">
        <w:rPr>
          <w:rFonts w:ascii="Arial" w:hAnsi="Arial" w:cs="Arial"/>
        </w:rPr>
        <w:tab/>
      </w:r>
      <w:r w:rsidR="00E06A49">
        <w:rPr>
          <w:rFonts w:ascii="Arial" w:hAnsi="Arial" w:cs="Arial"/>
        </w:rPr>
        <w:tab/>
      </w:r>
      <w:r w:rsidR="00E06A49">
        <w:rPr>
          <w:rFonts w:ascii="Arial" w:hAnsi="Arial" w:cs="Arial"/>
        </w:rPr>
        <w:tab/>
      </w:r>
      <w:r w:rsidR="00E06A49">
        <w:rPr>
          <w:rFonts w:ascii="Arial" w:hAnsi="Arial" w:cs="Arial"/>
        </w:rPr>
        <w:tab/>
      </w:r>
      <w:r w:rsidR="00896F46">
        <w:rPr>
          <w:rFonts w:ascii="Arial" w:hAnsi="Arial" w:cs="Arial"/>
        </w:rPr>
        <w:t>3</w:t>
      </w:r>
    </w:p>
    <w:p w:rsidR="00E06A49" w:rsidRDefault="0096360E" w:rsidP="00E06A49">
      <w:pPr>
        <w:spacing w:after="0" w:line="480" w:lineRule="auto"/>
        <w:rPr>
          <w:rFonts w:ascii="Arial" w:hAnsi="Arial" w:cs="Arial"/>
          <w:bCs/>
        </w:rPr>
      </w:pPr>
      <w:hyperlink w:anchor="RecommendedChange" w:history="1">
        <w:r w:rsidR="00896F46">
          <w:rPr>
            <w:rStyle w:val="Hyperlink"/>
            <w:rFonts w:ascii="Arial" w:hAnsi="Arial" w:cs="Arial"/>
            <w:bCs/>
          </w:rPr>
          <w:t>Recommended</w:t>
        </w:r>
        <w:r w:rsidR="00E06A49" w:rsidRPr="00983FB5">
          <w:rPr>
            <w:rStyle w:val="Hyperlink"/>
            <w:rFonts w:ascii="Arial" w:hAnsi="Arial" w:cs="Arial"/>
            <w:bCs/>
          </w:rPr>
          <w:t xml:space="preserve"> Change</w:t>
        </w:r>
        <w:r w:rsidR="002432FA">
          <w:rPr>
            <w:rStyle w:val="Hyperlink"/>
            <w:rFonts w:ascii="Arial" w:hAnsi="Arial" w:cs="Arial"/>
            <w:bCs/>
          </w:rPr>
          <w:t>s</w:t>
        </w:r>
        <w:r w:rsidR="00E06A49" w:rsidRPr="00983FB5">
          <w:rPr>
            <w:rStyle w:val="Hyperlink"/>
            <w:rFonts w:ascii="Arial" w:hAnsi="Arial" w:cs="Arial"/>
            <w:bCs/>
          </w:rPr>
          <w:t xml:space="preserve"> to </w:t>
        </w:r>
        <w:r w:rsidR="00896F46">
          <w:rPr>
            <w:rStyle w:val="Hyperlink"/>
            <w:rFonts w:ascii="Arial" w:hAnsi="Arial" w:cs="Arial"/>
            <w:bCs/>
          </w:rPr>
          <w:t>Publication</w:t>
        </w:r>
      </w:hyperlink>
      <w:r w:rsidR="00896F46">
        <w:rPr>
          <w:rFonts w:ascii="Arial" w:hAnsi="Arial" w:cs="Arial"/>
          <w:bCs/>
        </w:rPr>
        <w:t xml:space="preserve"> </w:t>
      </w:r>
      <w:r w:rsidR="00896F46">
        <w:rPr>
          <w:rFonts w:ascii="Arial" w:hAnsi="Arial" w:cs="Arial"/>
          <w:bCs/>
        </w:rPr>
        <w:tab/>
      </w:r>
      <w:r w:rsidR="00896F46">
        <w:rPr>
          <w:rFonts w:ascii="Arial" w:hAnsi="Arial" w:cs="Arial"/>
          <w:bCs/>
        </w:rPr>
        <w:tab/>
      </w:r>
      <w:r w:rsidR="00896F46">
        <w:rPr>
          <w:rFonts w:ascii="Arial" w:hAnsi="Arial" w:cs="Arial"/>
          <w:bCs/>
        </w:rPr>
        <w:tab/>
      </w:r>
      <w:r w:rsidR="00896F46">
        <w:rPr>
          <w:rFonts w:ascii="Arial" w:hAnsi="Arial" w:cs="Arial"/>
          <w:bCs/>
        </w:rPr>
        <w:tab/>
      </w:r>
      <w:r w:rsidR="00896F46">
        <w:rPr>
          <w:rFonts w:ascii="Arial" w:hAnsi="Arial" w:cs="Arial"/>
          <w:bCs/>
        </w:rPr>
        <w:tab/>
      </w:r>
      <w:r w:rsidR="00896F46">
        <w:rPr>
          <w:rFonts w:ascii="Arial" w:hAnsi="Arial" w:cs="Arial"/>
          <w:bCs/>
        </w:rPr>
        <w:tab/>
      </w:r>
      <w:r w:rsidR="00896F46">
        <w:rPr>
          <w:rFonts w:ascii="Arial" w:hAnsi="Arial" w:cs="Arial"/>
          <w:bCs/>
        </w:rPr>
        <w:tab/>
      </w:r>
      <w:r w:rsidR="00E06A49" w:rsidRPr="00BE4FFB">
        <w:rPr>
          <w:rFonts w:ascii="Arial" w:hAnsi="Arial" w:cs="Arial"/>
          <w:bCs/>
        </w:rPr>
        <w:t>3</w:t>
      </w:r>
    </w:p>
    <w:p w:rsidR="002432FA" w:rsidRPr="002432FA" w:rsidRDefault="002432FA" w:rsidP="002432FA">
      <w:pPr>
        <w:pStyle w:val="ListParagraph"/>
        <w:numPr>
          <w:ilvl w:val="0"/>
          <w:numId w:val="3"/>
        </w:numPr>
        <w:spacing w:after="0" w:line="480" w:lineRule="auto"/>
        <w:rPr>
          <w:rFonts w:ascii="Arial" w:hAnsi="Arial" w:cs="Arial"/>
          <w:bCs/>
        </w:rPr>
      </w:pPr>
      <w:r w:rsidRPr="002432FA">
        <w:rPr>
          <w:rFonts w:ascii="Arial" w:hAnsi="Arial" w:cs="Arial"/>
        </w:rPr>
        <w:t>KPI5: Rate of killed or seriously injured motorcyclists per 100 million motorcycle kilometres</w:t>
      </w:r>
    </w:p>
    <w:p w:rsidR="002432FA" w:rsidRPr="002432FA" w:rsidRDefault="002432FA" w:rsidP="002432FA">
      <w:pPr>
        <w:pStyle w:val="ListParagraph"/>
        <w:numPr>
          <w:ilvl w:val="0"/>
          <w:numId w:val="3"/>
        </w:numPr>
        <w:spacing w:after="0" w:line="480" w:lineRule="auto"/>
        <w:rPr>
          <w:rFonts w:ascii="Arial" w:hAnsi="Arial" w:cs="Arial"/>
          <w:bCs/>
        </w:rPr>
      </w:pPr>
      <w:r>
        <w:rPr>
          <w:rFonts w:ascii="Arial" w:hAnsi="Arial" w:cs="Arial"/>
          <w:bCs/>
        </w:rPr>
        <w:t xml:space="preserve">KPI4: </w:t>
      </w:r>
      <w:r w:rsidRPr="002432FA">
        <w:rPr>
          <w:rFonts w:ascii="Arial" w:hAnsi="Arial" w:cs="Arial"/>
        </w:rPr>
        <w:t>Rate of</w:t>
      </w:r>
      <w:r>
        <w:rPr>
          <w:rFonts w:ascii="Arial" w:hAnsi="Arial" w:cs="Arial"/>
        </w:rPr>
        <w:t xml:space="preserve"> killed or seriously injured pedal cyclists</w:t>
      </w:r>
      <w:r w:rsidRPr="002432FA">
        <w:rPr>
          <w:rFonts w:ascii="Arial" w:hAnsi="Arial" w:cs="Arial"/>
        </w:rPr>
        <w:t xml:space="preserve"> per 100 million kilometres cycled</w:t>
      </w:r>
    </w:p>
    <w:p w:rsidR="00E06A49" w:rsidRPr="00BE4FFB" w:rsidRDefault="0096360E" w:rsidP="00E06A49">
      <w:pPr>
        <w:spacing w:after="0" w:line="480" w:lineRule="auto"/>
        <w:rPr>
          <w:rFonts w:ascii="Arial" w:hAnsi="Arial" w:cs="Arial"/>
          <w:bCs/>
        </w:rPr>
      </w:pPr>
      <w:hyperlink w:anchor="RequiredChange" w:history="1">
        <w:r w:rsidR="00896F46">
          <w:rPr>
            <w:rStyle w:val="Hyperlink"/>
            <w:rFonts w:ascii="Arial" w:hAnsi="Arial" w:cs="Arial"/>
            <w:bCs/>
          </w:rPr>
          <w:t>Required</w:t>
        </w:r>
        <w:r w:rsidR="00896F46" w:rsidRPr="00983FB5">
          <w:rPr>
            <w:rStyle w:val="Hyperlink"/>
            <w:rFonts w:ascii="Arial" w:hAnsi="Arial" w:cs="Arial"/>
            <w:bCs/>
          </w:rPr>
          <w:t xml:space="preserve"> Change</w:t>
        </w:r>
        <w:r w:rsidR="000E13C7">
          <w:rPr>
            <w:rStyle w:val="Hyperlink"/>
            <w:rFonts w:ascii="Arial" w:hAnsi="Arial" w:cs="Arial"/>
            <w:bCs/>
          </w:rPr>
          <w:t>s</w:t>
        </w:r>
        <w:r w:rsidR="00896F46" w:rsidRPr="00983FB5">
          <w:rPr>
            <w:rStyle w:val="Hyperlink"/>
            <w:rFonts w:ascii="Arial" w:hAnsi="Arial" w:cs="Arial"/>
            <w:bCs/>
          </w:rPr>
          <w:t xml:space="preserve"> to </w:t>
        </w:r>
        <w:r w:rsidR="00896F46">
          <w:rPr>
            <w:rStyle w:val="Hyperlink"/>
            <w:rFonts w:ascii="Arial" w:hAnsi="Arial" w:cs="Arial"/>
            <w:bCs/>
          </w:rPr>
          <w:t>Publication</w:t>
        </w:r>
      </w:hyperlink>
      <w:r w:rsidR="00896F46">
        <w:rPr>
          <w:rFonts w:ascii="Arial" w:hAnsi="Arial" w:cs="Arial"/>
          <w:bCs/>
        </w:rPr>
        <w:tab/>
      </w:r>
      <w:r w:rsidR="00896F46">
        <w:rPr>
          <w:rFonts w:ascii="Arial" w:hAnsi="Arial" w:cs="Arial"/>
          <w:bCs/>
        </w:rPr>
        <w:tab/>
      </w:r>
      <w:r w:rsidR="00896F46">
        <w:rPr>
          <w:rFonts w:ascii="Arial" w:hAnsi="Arial" w:cs="Arial"/>
          <w:bCs/>
        </w:rPr>
        <w:tab/>
      </w:r>
      <w:r w:rsidR="00896F46">
        <w:rPr>
          <w:rFonts w:ascii="Arial" w:hAnsi="Arial" w:cs="Arial"/>
          <w:bCs/>
        </w:rPr>
        <w:tab/>
      </w:r>
      <w:r w:rsidR="00896F46">
        <w:rPr>
          <w:rFonts w:ascii="Arial" w:hAnsi="Arial" w:cs="Arial"/>
          <w:bCs/>
        </w:rPr>
        <w:tab/>
      </w:r>
      <w:r w:rsidR="00896F46">
        <w:rPr>
          <w:rFonts w:ascii="Arial" w:hAnsi="Arial" w:cs="Arial"/>
          <w:bCs/>
        </w:rPr>
        <w:tab/>
      </w:r>
      <w:r w:rsidR="00896F46">
        <w:rPr>
          <w:rFonts w:ascii="Arial" w:hAnsi="Arial" w:cs="Arial"/>
          <w:bCs/>
        </w:rPr>
        <w:tab/>
      </w:r>
      <w:r w:rsidR="00896F46">
        <w:rPr>
          <w:rFonts w:ascii="Arial" w:hAnsi="Arial" w:cs="Arial"/>
          <w:bCs/>
        </w:rPr>
        <w:tab/>
      </w:r>
      <w:r w:rsidR="001062CA">
        <w:rPr>
          <w:rFonts w:ascii="Arial" w:hAnsi="Arial" w:cs="Arial"/>
          <w:bCs/>
        </w:rPr>
        <w:t>7</w:t>
      </w:r>
    </w:p>
    <w:p w:rsidR="00E06A49" w:rsidRPr="00BE4FFB" w:rsidRDefault="0096360E" w:rsidP="00E06A49">
      <w:pPr>
        <w:spacing w:after="0" w:line="480" w:lineRule="auto"/>
        <w:rPr>
          <w:rFonts w:ascii="Arial" w:hAnsi="Arial" w:cs="Arial"/>
          <w:bCs/>
        </w:rPr>
      </w:pPr>
      <w:hyperlink w:anchor="InvitationtoRespond" w:history="1">
        <w:r w:rsidR="00E06A49" w:rsidRPr="00983FB5">
          <w:rPr>
            <w:rStyle w:val="Hyperlink"/>
            <w:rFonts w:ascii="Arial" w:hAnsi="Arial" w:cs="Arial"/>
            <w:bCs/>
          </w:rPr>
          <w:t>Invitation to Respond</w:t>
        </w:r>
      </w:hyperlink>
      <w:r w:rsidR="00E06A49">
        <w:rPr>
          <w:rFonts w:ascii="Arial" w:hAnsi="Arial" w:cs="Arial"/>
          <w:bCs/>
        </w:rPr>
        <w:tab/>
      </w:r>
      <w:r w:rsidR="00E06A49">
        <w:rPr>
          <w:rFonts w:ascii="Arial" w:hAnsi="Arial" w:cs="Arial"/>
          <w:bCs/>
        </w:rPr>
        <w:tab/>
      </w:r>
      <w:r w:rsidR="00E06A49">
        <w:rPr>
          <w:rFonts w:ascii="Arial" w:hAnsi="Arial" w:cs="Arial"/>
          <w:bCs/>
        </w:rPr>
        <w:tab/>
      </w:r>
      <w:r w:rsidR="00E06A49">
        <w:rPr>
          <w:rFonts w:ascii="Arial" w:hAnsi="Arial" w:cs="Arial"/>
          <w:bCs/>
        </w:rPr>
        <w:tab/>
      </w:r>
      <w:r w:rsidR="00E06A49">
        <w:rPr>
          <w:rFonts w:ascii="Arial" w:hAnsi="Arial" w:cs="Arial"/>
          <w:bCs/>
        </w:rPr>
        <w:tab/>
      </w:r>
      <w:r w:rsidR="00E06A49">
        <w:rPr>
          <w:rFonts w:ascii="Arial" w:hAnsi="Arial" w:cs="Arial"/>
          <w:bCs/>
        </w:rPr>
        <w:tab/>
      </w:r>
      <w:r w:rsidR="00E06A49">
        <w:rPr>
          <w:rFonts w:ascii="Arial" w:hAnsi="Arial" w:cs="Arial"/>
          <w:bCs/>
        </w:rPr>
        <w:tab/>
      </w:r>
      <w:r w:rsidR="00E06A49">
        <w:rPr>
          <w:rFonts w:ascii="Arial" w:hAnsi="Arial" w:cs="Arial"/>
          <w:bCs/>
        </w:rPr>
        <w:tab/>
      </w:r>
      <w:r w:rsidR="00E06A49">
        <w:rPr>
          <w:rFonts w:ascii="Arial" w:hAnsi="Arial" w:cs="Arial"/>
          <w:bCs/>
        </w:rPr>
        <w:tab/>
      </w:r>
      <w:r w:rsidR="00E06A49">
        <w:rPr>
          <w:rFonts w:ascii="Arial" w:hAnsi="Arial" w:cs="Arial"/>
          <w:bCs/>
        </w:rPr>
        <w:tab/>
      </w:r>
      <w:r w:rsidR="001062CA">
        <w:rPr>
          <w:rFonts w:ascii="Arial" w:hAnsi="Arial" w:cs="Arial"/>
          <w:bCs/>
        </w:rPr>
        <w:t>8</w:t>
      </w:r>
    </w:p>
    <w:p w:rsidR="00E06A49" w:rsidRDefault="0096360E" w:rsidP="00E06A49">
      <w:pPr>
        <w:spacing w:after="0" w:line="480" w:lineRule="auto"/>
        <w:rPr>
          <w:rFonts w:ascii="Arial" w:hAnsi="Arial" w:cs="Arial"/>
          <w:bCs/>
        </w:rPr>
      </w:pPr>
      <w:hyperlink w:anchor="AnnexA" w:history="1">
        <w:r w:rsidR="00E06A49" w:rsidRPr="00983FB5">
          <w:rPr>
            <w:rStyle w:val="Hyperlink"/>
            <w:rFonts w:ascii="Arial" w:hAnsi="Arial" w:cs="Arial"/>
            <w:bCs/>
          </w:rPr>
          <w:t xml:space="preserve">Annexe A: User </w:t>
        </w:r>
        <w:r w:rsidR="005E1364">
          <w:rPr>
            <w:rStyle w:val="Hyperlink"/>
            <w:rFonts w:ascii="Arial" w:hAnsi="Arial" w:cs="Arial"/>
            <w:bCs/>
          </w:rPr>
          <w:t>Response</w:t>
        </w:r>
      </w:hyperlink>
      <w:r w:rsidR="00E06A49">
        <w:rPr>
          <w:rFonts w:ascii="Arial" w:hAnsi="Arial" w:cs="Arial"/>
          <w:bCs/>
        </w:rPr>
        <w:tab/>
      </w:r>
      <w:r w:rsidR="00E06A49">
        <w:rPr>
          <w:rFonts w:ascii="Arial" w:hAnsi="Arial" w:cs="Arial"/>
          <w:bCs/>
        </w:rPr>
        <w:tab/>
      </w:r>
      <w:r w:rsidR="00E06A49">
        <w:rPr>
          <w:rFonts w:ascii="Arial" w:hAnsi="Arial" w:cs="Arial"/>
          <w:bCs/>
        </w:rPr>
        <w:tab/>
      </w:r>
      <w:r w:rsidR="00E06A49">
        <w:rPr>
          <w:rFonts w:ascii="Arial" w:hAnsi="Arial" w:cs="Arial"/>
          <w:bCs/>
        </w:rPr>
        <w:tab/>
      </w:r>
      <w:r w:rsidR="00E06A49">
        <w:rPr>
          <w:rFonts w:ascii="Arial" w:hAnsi="Arial" w:cs="Arial"/>
          <w:bCs/>
        </w:rPr>
        <w:tab/>
      </w:r>
      <w:r w:rsidR="00E06A49">
        <w:rPr>
          <w:rFonts w:ascii="Arial" w:hAnsi="Arial" w:cs="Arial"/>
          <w:bCs/>
        </w:rPr>
        <w:tab/>
      </w:r>
      <w:r w:rsidR="00E06A49">
        <w:rPr>
          <w:rFonts w:ascii="Arial" w:hAnsi="Arial" w:cs="Arial"/>
          <w:bCs/>
        </w:rPr>
        <w:tab/>
      </w:r>
      <w:r w:rsidR="00E06A49">
        <w:rPr>
          <w:rFonts w:ascii="Arial" w:hAnsi="Arial" w:cs="Arial"/>
          <w:bCs/>
        </w:rPr>
        <w:tab/>
      </w:r>
      <w:r w:rsidR="006D6A75">
        <w:rPr>
          <w:rFonts w:ascii="Arial" w:hAnsi="Arial" w:cs="Arial"/>
          <w:bCs/>
        </w:rPr>
        <w:tab/>
      </w:r>
      <w:r w:rsidR="001062CA">
        <w:rPr>
          <w:rFonts w:ascii="Arial" w:hAnsi="Arial" w:cs="Arial"/>
          <w:bCs/>
        </w:rPr>
        <w:t>9</w:t>
      </w:r>
    </w:p>
    <w:p w:rsidR="00E06A49" w:rsidRDefault="00E06A49" w:rsidP="00E06A49">
      <w:pPr>
        <w:spacing w:after="0" w:line="480" w:lineRule="auto"/>
        <w:rPr>
          <w:rFonts w:ascii="Arial" w:hAnsi="Arial" w:cs="Arial"/>
          <w:bCs/>
        </w:rPr>
      </w:pPr>
    </w:p>
    <w:p w:rsidR="00E06A49" w:rsidRDefault="00E06A49">
      <w:pPr>
        <w:rPr>
          <w:rFonts w:ascii="Arial" w:hAnsi="Arial" w:cs="Arial"/>
          <w:b/>
          <w:bCs/>
        </w:rPr>
      </w:pPr>
      <w:r>
        <w:rPr>
          <w:rFonts w:ascii="Arial" w:hAnsi="Arial" w:cs="Arial"/>
          <w:b/>
          <w:bCs/>
        </w:rPr>
        <w:br w:type="page"/>
      </w:r>
    </w:p>
    <w:p w:rsidR="00E06A49" w:rsidRPr="00A57082" w:rsidRDefault="00E06A49" w:rsidP="00E06A49">
      <w:pPr>
        <w:rPr>
          <w:rFonts w:ascii="Arial" w:hAnsi="Arial" w:cs="Arial"/>
          <w:b/>
          <w:bCs/>
          <w:u w:val="single"/>
        </w:rPr>
      </w:pPr>
      <w:bookmarkStart w:id="2" w:name="Background"/>
      <w:r w:rsidRPr="00A57082">
        <w:rPr>
          <w:rFonts w:ascii="Arial" w:hAnsi="Arial" w:cs="Arial"/>
          <w:b/>
          <w:bCs/>
          <w:u w:val="single"/>
        </w:rPr>
        <w:lastRenderedPageBreak/>
        <w:t>Background</w:t>
      </w:r>
    </w:p>
    <w:bookmarkEnd w:id="2"/>
    <w:p w:rsidR="00E06A49" w:rsidRPr="00004633" w:rsidRDefault="00B61326" w:rsidP="00004633">
      <w:pPr>
        <w:spacing w:line="360" w:lineRule="auto"/>
        <w:jc w:val="both"/>
        <w:rPr>
          <w:rFonts w:ascii="Arial" w:hAnsi="Arial" w:cs="Arial"/>
          <w:bCs/>
        </w:rPr>
      </w:pPr>
      <w:r w:rsidRPr="00004633">
        <w:rPr>
          <w:rFonts w:ascii="Arial" w:hAnsi="Arial" w:cs="Arial"/>
          <w:bCs/>
        </w:rPr>
        <w:t>Analysis</w:t>
      </w:r>
      <w:r w:rsidR="00E06A49" w:rsidRPr="00004633">
        <w:rPr>
          <w:rFonts w:ascii="Arial" w:hAnsi="Arial" w:cs="Arial"/>
          <w:bCs/>
        </w:rPr>
        <w:t xml:space="preserve"> Statistics and Research Branch (</w:t>
      </w:r>
      <w:r w:rsidRPr="00004633">
        <w:rPr>
          <w:rFonts w:ascii="Arial" w:hAnsi="Arial" w:cs="Arial"/>
          <w:bCs/>
        </w:rPr>
        <w:t>A</w:t>
      </w:r>
      <w:r w:rsidR="00E06A49" w:rsidRPr="00004633">
        <w:rPr>
          <w:rFonts w:ascii="Arial" w:hAnsi="Arial" w:cs="Arial"/>
          <w:bCs/>
        </w:rPr>
        <w:t xml:space="preserve">SRB), a Northern Ireland Statistics and Research Agency (NISRA) branch within the Department for </w:t>
      </w:r>
      <w:r w:rsidRPr="00004633">
        <w:rPr>
          <w:rFonts w:ascii="Arial" w:hAnsi="Arial" w:cs="Arial"/>
          <w:bCs/>
        </w:rPr>
        <w:t>Infrastructure</w:t>
      </w:r>
      <w:r w:rsidR="00E06A49" w:rsidRPr="00004633">
        <w:rPr>
          <w:rFonts w:ascii="Arial" w:hAnsi="Arial" w:cs="Arial"/>
          <w:bCs/>
        </w:rPr>
        <w:t xml:space="preserve"> (D</w:t>
      </w:r>
      <w:r w:rsidRPr="00004633">
        <w:rPr>
          <w:rFonts w:ascii="Arial" w:hAnsi="Arial" w:cs="Arial"/>
          <w:bCs/>
        </w:rPr>
        <w:t>fI</w:t>
      </w:r>
      <w:r w:rsidR="00E06A49" w:rsidRPr="00004633">
        <w:rPr>
          <w:rFonts w:ascii="Arial" w:hAnsi="Arial" w:cs="Arial"/>
          <w:bCs/>
        </w:rPr>
        <w:t xml:space="preserve">) is responsible for the compilation and publication of the ‘Northern Ireland Road </w:t>
      </w:r>
      <w:r w:rsidRPr="00004633">
        <w:rPr>
          <w:rFonts w:ascii="Arial" w:hAnsi="Arial" w:cs="Arial"/>
          <w:bCs/>
        </w:rPr>
        <w:t>Safety Strategy to 2020 Annual Statistical Report</w:t>
      </w:r>
      <w:r w:rsidR="00E06A49" w:rsidRPr="00004633">
        <w:rPr>
          <w:rFonts w:ascii="Arial" w:hAnsi="Arial" w:cs="Arial"/>
          <w:bCs/>
        </w:rPr>
        <w:t>’.</w:t>
      </w:r>
    </w:p>
    <w:p w:rsidR="00E06A49" w:rsidRPr="00004633" w:rsidRDefault="00E06A49" w:rsidP="00F54C5D">
      <w:pPr>
        <w:pStyle w:val="Default"/>
        <w:spacing w:after="240" w:line="360" w:lineRule="auto"/>
        <w:jc w:val="both"/>
        <w:rPr>
          <w:bCs/>
          <w:sz w:val="22"/>
          <w:szCs w:val="22"/>
        </w:rPr>
      </w:pPr>
      <w:r w:rsidRPr="00004633">
        <w:rPr>
          <w:bCs/>
          <w:sz w:val="22"/>
          <w:szCs w:val="22"/>
        </w:rPr>
        <w:t xml:space="preserve">The first </w:t>
      </w:r>
      <w:r w:rsidR="00B61326" w:rsidRPr="00004633">
        <w:rPr>
          <w:bCs/>
          <w:sz w:val="22"/>
          <w:szCs w:val="22"/>
        </w:rPr>
        <w:t>report</w:t>
      </w:r>
      <w:r w:rsidRPr="00004633">
        <w:rPr>
          <w:bCs/>
          <w:sz w:val="22"/>
          <w:szCs w:val="22"/>
        </w:rPr>
        <w:t xml:space="preserve"> of this series was published in </w:t>
      </w:r>
      <w:r w:rsidR="00B61326" w:rsidRPr="00004633">
        <w:rPr>
          <w:bCs/>
          <w:sz w:val="22"/>
          <w:szCs w:val="22"/>
        </w:rPr>
        <w:t>2012</w:t>
      </w:r>
      <w:r w:rsidRPr="00004633">
        <w:rPr>
          <w:bCs/>
          <w:sz w:val="22"/>
          <w:szCs w:val="22"/>
        </w:rPr>
        <w:t xml:space="preserve"> and subsequent </w:t>
      </w:r>
      <w:r w:rsidR="00B61326" w:rsidRPr="00004633">
        <w:rPr>
          <w:bCs/>
          <w:sz w:val="22"/>
          <w:szCs w:val="22"/>
        </w:rPr>
        <w:t>reports</w:t>
      </w:r>
      <w:r w:rsidRPr="00004633">
        <w:rPr>
          <w:bCs/>
          <w:sz w:val="22"/>
          <w:szCs w:val="22"/>
        </w:rPr>
        <w:t xml:space="preserve"> published thereafter</w:t>
      </w:r>
      <w:r w:rsidR="00B61326" w:rsidRPr="00004633">
        <w:rPr>
          <w:bCs/>
          <w:sz w:val="22"/>
          <w:szCs w:val="22"/>
        </w:rPr>
        <w:t xml:space="preserve"> on an annual basis, in September. </w:t>
      </w:r>
    </w:p>
    <w:p w:rsidR="001A1B37" w:rsidRDefault="0086535E" w:rsidP="00F54C5D">
      <w:pPr>
        <w:spacing w:after="240" w:line="360" w:lineRule="auto"/>
        <w:rPr>
          <w:rFonts w:ascii="Arial" w:hAnsi="Arial" w:cs="Arial"/>
        </w:rPr>
      </w:pPr>
      <w:r w:rsidRPr="00004633">
        <w:rPr>
          <w:rFonts w:ascii="Arial" w:hAnsi="Arial" w:cs="Arial"/>
        </w:rPr>
        <w:t>T</w:t>
      </w:r>
      <w:r w:rsidR="00B61326" w:rsidRPr="00004633">
        <w:rPr>
          <w:rFonts w:ascii="Arial" w:hAnsi="Arial" w:cs="Arial"/>
        </w:rPr>
        <w:t>he Northern Ireland’s Road S</w:t>
      </w:r>
      <w:r w:rsidRPr="00004633">
        <w:rPr>
          <w:rFonts w:ascii="Arial" w:hAnsi="Arial" w:cs="Arial"/>
        </w:rPr>
        <w:t xml:space="preserve">afety Strategy (NIRSS) to 2020 </w:t>
      </w:r>
      <w:r w:rsidR="00B61326" w:rsidRPr="00004633">
        <w:rPr>
          <w:rFonts w:ascii="Arial" w:hAnsi="Arial" w:cs="Arial"/>
        </w:rPr>
        <w:t>identified four casualty reduction targets and 199 action mea</w:t>
      </w:r>
      <w:r w:rsidRPr="00004633">
        <w:rPr>
          <w:rFonts w:ascii="Arial" w:hAnsi="Arial" w:cs="Arial"/>
        </w:rPr>
        <w:t xml:space="preserve">sures for improving road safety. A Strategy Delivery Board has the lead responsibility for monitoring and reporting on progress towards delivery of the Strategy and reports to the DfI Minister. </w:t>
      </w:r>
      <w:r w:rsidR="00004633">
        <w:rPr>
          <w:rFonts w:ascii="Arial" w:hAnsi="Arial" w:cs="Arial"/>
        </w:rPr>
        <w:t>T</w:t>
      </w:r>
      <w:r w:rsidR="00004633" w:rsidRPr="00004633">
        <w:rPr>
          <w:rFonts w:ascii="Arial" w:hAnsi="Arial" w:cs="Arial"/>
        </w:rPr>
        <w:t>he Annual Statistical Report provides the main source of information for the Delivery Boar</w:t>
      </w:r>
      <w:r w:rsidR="00004633">
        <w:rPr>
          <w:rFonts w:ascii="Arial" w:hAnsi="Arial" w:cs="Arial"/>
        </w:rPr>
        <w:t xml:space="preserve">d to assess progress being made; </w:t>
      </w:r>
      <w:r w:rsidRPr="00004633">
        <w:rPr>
          <w:rFonts w:ascii="Arial" w:hAnsi="Arial" w:cs="Arial"/>
        </w:rPr>
        <w:t xml:space="preserve">ASRB publish the </w:t>
      </w:r>
      <w:r w:rsidR="00004633">
        <w:rPr>
          <w:rFonts w:ascii="Arial" w:hAnsi="Arial" w:cs="Arial"/>
        </w:rPr>
        <w:t xml:space="preserve">targets and </w:t>
      </w:r>
      <w:r w:rsidRPr="00004633">
        <w:rPr>
          <w:rFonts w:ascii="Arial" w:hAnsi="Arial" w:cs="Arial"/>
        </w:rPr>
        <w:t>KPIs as Official Statistics and additionally provides a general analytical/research support function to the Delivery Board in order to help it perform its role.</w:t>
      </w:r>
    </w:p>
    <w:p w:rsidR="001A1B37" w:rsidRPr="001A1B37" w:rsidRDefault="001A1B37" w:rsidP="00004633">
      <w:pPr>
        <w:spacing w:after="0" w:line="360" w:lineRule="auto"/>
        <w:rPr>
          <w:rFonts w:ascii="Arial" w:hAnsi="Arial" w:cs="Arial"/>
          <w:b/>
        </w:rPr>
      </w:pPr>
      <w:r w:rsidRPr="001A1B37">
        <w:rPr>
          <w:rFonts w:ascii="Arial" w:hAnsi="Arial" w:cs="Arial"/>
        </w:rPr>
        <w:t>While it is recognised</w:t>
      </w:r>
      <w:r>
        <w:rPr>
          <w:rFonts w:ascii="Arial" w:hAnsi="Arial" w:cs="Arial"/>
        </w:rPr>
        <w:t xml:space="preserve"> that the main customers for the</w:t>
      </w:r>
      <w:r w:rsidRPr="001A1B37">
        <w:rPr>
          <w:rFonts w:ascii="Arial" w:hAnsi="Arial" w:cs="Arial"/>
        </w:rPr>
        <w:t xml:space="preserve"> report </w:t>
      </w:r>
      <w:r>
        <w:rPr>
          <w:rFonts w:ascii="Arial" w:hAnsi="Arial" w:cs="Arial"/>
        </w:rPr>
        <w:t>are internal policy colleagues</w:t>
      </w:r>
      <w:r w:rsidRPr="001A1B37">
        <w:rPr>
          <w:rFonts w:ascii="Arial" w:hAnsi="Arial" w:cs="Arial"/>
        </w:rPr>
        <w:t>, the Statistical Report also serves a wider public purpose.</w:t>
      </w:r>
    </w:p>
    <w:p w:rsidR="00004633" w:rsidRDefault="00004633" w:rsidP="00004633">
      <w:pPr>
        <w:spacing w:after="0" w:line="360" w:lineRule="auto"/>
        <w:rPr>
          <w:rFonts w:ascii="Arial" w:hAnsi="Arial" w:cs="Arial"/>
        </w:rPr>
      </w:pPr>
    </w:p>
    <w:p w:rsidR="00004633" w:rsidRPr="00A57082" w:rsidRDefault="00004633" w:rsidP="00004633">
      <w:pPr>
        <w:spacing w:line="360" w:lineRule="auto"/>
        <w:rPr>
          <w:rFonts w:ascii="Arial" w:hAnsi="Arial" w:cs="Arial"/>
          <w:b/>
          <w:u w:val="single"/>
        </w:rPr>
      </w:pPr>
      <w:bookmarkStart w:id="3" w:name="NationalStatisticsDesignation"/>
      <w:r w:rsidRPr="00A57082">
        <w:rPr>
          <w:rFonts w:ascii="Arial" w:hAnsi="Arial" w:cs="Arial"/>
          <w:b/>
          <w:u w:val="single"/>
        </w:rPr>
        <w:t>National Statistics Designation</w:t>
      </w:r>
      <w:bookmarkEnd w:id="3"/>
    </w:p>
    <w:p w:rsidR="004B4A17" w:rsidRPr="00F54C5D" w:rsidRDefault="00004633" w:rsidP="00F54C5D">
      <w:pPr>
        <w:pStyle w:val="Default"/>
        <w:spacing w:after="200" w:line="360" w:lineRule="auto"/>
        <w:jc w:val="both"/>
      </w:pPr>
      <w:r w:rsidRPr="0021707B">
        <w:rPr>
          <w:sz w:val="22"/>
          <w:szCs w:val="22"/>
        </w:rPr>
        <w:t>In 201</w:t>
      </w:r>
      <w:r>
        <w:rPr>
          <w:sz w:val="22"/>
          <w:szCs w:val="22"/>
        </w:rPr>
        <w:t>5</w:t>
      </w:r>
      <w:r w:rsidRPr="0021707B">
        <w:rPr>
          <w:sz w:val="22"/>
          <w:szCs w:val="22"/>
        </w:rPr>
        <w:t>, the U</w:t>
      </w:r>
      <w:r>
        <w:rPr>
          <w:sz w:val="22"/>
          <w:szCs w:val="22"/>
        </w:rPr>
        <w:t>nited Kingdom</w:t>
      </w:r>
      <w:r w:rsidRPr="0021707B">
        <w:rPr>
          <w:sz w:val="22"/>
          <w:szCs w:val="22"/>
        </w:rPr>
        <w:t xml:space="preserve"> Statistics Authority carried out an assessment of </w:t>
      </w:r>
      <w:r>
        <w:rPr>
          <w:sz w:val="22"/>
          <w:szCs w:val="22"/>
        </w:rPr>
        <w:t xml:space="preserve">the Northern Ireland Road Safety Strategy to 2020 Annual Statistical Report. In 2016, they </w:t>
      </w:r>
      <w:r w:rsidRPr="0021707B">
        <w:rPr>
          <w:sz w:val="22"/>
          <w:szCs w:val="22"/>
        </w:rPr>
        <w:t>designa</w:t>
      </w:r>
      <w:r>
        <w:rPr>
          <w:sz w:val="22"/>
          <w:szCs w:val="22"/>
        </w:rPr>
        <w:t xml:space="preserve">ted the statistics as National Statistics, </w:t>
      </w:r>
      <w:r w:rsidRPr="006A59E5">
        <w:rPr>
          <w:sz w:val="22"/>
          <w:szCs w:val="22"/>
        </w:rPr>
        <w:t>in accordance with the Statistics and Registration Service Act 2007 and signifying compliance with the Code of Practice for Official Statistics.</w:t>
      </w:r>
      <w:r w:rsidRPr="00521DB0">
        <w:t xml:space="preserve">  </w:t>
      </w:r>
    </w:p>
    <w:p w:rsidR="004B4A17" w:rsidRDefault="00C4534E" w:rsidP="00004633">
      <w:pPr>
        <w:spacing w:line="360" w:lineRule="auto"/>
        <w:rPr>
          <w:rFonts w:ascii="Arial" w:hAnsi="Arial" w:cs="Arial"/>
          <w:b/>
          <w:bCs/>
          <w:u w:val="single"/>
        </w:rPr>
      </w:pPr>
      <w:bookmarkStart w:id="4" w:name="RecommendedChange"/>
      <w:r w:rsidRPr="00A57082">
        <w:rPr>
          <w:rFonts w:ascii="Arial" w:hAnsi="Arial" w:cs="Arial"/>
          <w:b/>
          <w:bCs/>
          <w:u w:val="single"/>
        </w:rPr>
        <w:t>Recommended</w:t>
      </w:r>
      <w:r w:rsidR="004B4A17" w:rsidRPr="00A57082">
        <w:rPr>
          <w:rFonts w:ascii="Arial" w:hAnsi="Arial" w:cs="Arial"/>
          <w:b/>
          <w:bCs/>
          <w:u w:val="single"/>
        </w:rPr>
        <w:t xml:space="preserve"> change</w:t>
      </w:r>
      <w:r w:rsidR="002432FA">
        <w:rPr>
          <w:rFonts w:ascii="Arial" w:hAnsi="Arial" w:cs="Arial"/>
          <w:b/>
          <w:bCs/>
          <w:u w:val="single"/>
        </w:rPr>
        <w:t>s</w:t>
      </w:r>
      <w:r w:rsidR="004B4A17" w:rsidRPr="00A57082">
        <w:rPr>
          <w:rFonts w:ascii="Arial" w:hAnsi="Arial" w:cs="Arial"/>
          <w:b/>
          <w:bCs/>
          <w:u w:val="single"/>
        </w:rPr>
        <w:t xml:space="preserve"> to the Publication</w:t>
      </w:r>
      <w:bookmarkEnd w:id="4"/>
    </w:p>
    <w:p w:rsidR="00672388" w:rsidRDefault="002432FA" w:rsidP="00E21CC4">
      <w:pPr>
        <w:autoSpaceDE w:val="0"/>
        <w:autoSpaceDN w:val="0"/>
        <w:adjustRightInd w:val="0"/>
        <w:spacing w:line="360" w:lineRule="auto"/>
        <w:jc w:val="both"/>
        <w:rPr>
          <w:rFonts w:ascii="Arial" w:hAnsi="Arial" w:cs="Arial"/>
        </w:rPr>
      </w:pPr>
      <w:r>
        <w:rPr>
          <w:rFonts w:ascii="Arial" w:hAnsi="Arial" w:cs="Arial"/>
        </w:rPr>
        <w:t>Two</w:t>
      </w:r>
      <w:r w:rsidR="00672388">
        <w:rPr>
          <w:rFonts w:ascii="Arial" w:hAnsi="Arial" w:cs="Arial"/>
        </w:rPr>
        <w:t xml:space="preserve"> </w:t>
      </w:r>
      <w:r w:rsidR="00C4534E">
        <w:rPr>
          <w:rFonts w:ascii="Arial" w:hAnsi="Arial" w:cs="Arial"/>
        </w:rPr>
        <w:t>recommended</w:t>
      </w:r>
      <w:r w:rsidR="00E21CC4" w:rsidRPr="00C549CA">
        <w:rPr>
          <w:rFonts w:ascii="Arial" w:hAnsi="Arial" w:cs="Arial"/>
        </w:rPr>
        <w:t xml:space="preserve"> change</w:t>
      </w:r>
      <w:r>
        <w:rPr>
          <w:rFonts w:ascii="Arial" w:hAnsi="Arial" w:cs="Arial"/>
        </w:rPr>
        <w:t>s</w:t>
      </w:r>
      <w:r w:rsidR="00E21CC4" w:rsidRPr="00C549CA">
        <w:rPr>
          <w:rFonts w:ascii="Arial" w:hAnsi="Arial" w:cs="Arial"/>
        </w:rPr>
        <w:t xml:space="preserve"> to the </w:t>
      </w:r>
      <w:r w:rsidR="00E21CC4">
        <w:rPr>
          <w:rFonts w:ascii="Arial" w:hAnsi="Arial" w:cs="Arial"/>
        </w:rPr>
        <w:t>‘</w:t>
      </w:r>
      <w:r w:rsidR="00896F46">
        <w:rPr>
          <w:rFonts w:ascii="Arial" w:hAnsi="Arial" w:cs="Arial"/>
        </w:rPr>
        <w:t xml:space="preserve">Northern </w:t>
      </w:r>
      <w:r w:rsidR="00E21CC4" w:rsidRPr="00004633">
        <w:rPr>
          <w:rFonts w:ascii="Arial" w:hAnsi="Arial" w:cs="Arial"/>
          <w:bCs/>
        </w:rPr>
        <w:t>Ireland Road Safety Strategy to 2020 Annual Statistical Report’</w:t>
      </w:r>
      <w:r w:rsidR="00E21CC4" w:rsidRPr="00C549CA">
        <w:rPr>
          <w:rFonts w:ascii="Arial" w:hAnsi="Arial" w:cs="Arial"/>
        </w:rPr>
        <w:t xml:space="preserve"> </w:t>
      </w:r>
      <w:r>
        <w:rPr>
          <w:rFonts w:ascii="Arial" w:hAnsi="Arial" w:cs="Arial"/>
        </w:rPr>
        <w:t>have</w:t>
      </w:r>
      <w:r w:rsidR="00E21CC4" w:rsidRPr="00C549CA">
        <w:rPr>
          <w:rFonts w:ascii="Arial" w:hAnsi="Arial" w:cs="Arial"/>
        </w:rPr>
        <w:t xml:space="preserve"> been identified.</w:t>
      </w:r>
      <w:r w:rsidR="00C4534E">
        <w:rPr>
          <w:rFonts w:ascii="Arial" w:hAnsi="Arial" w:cs="Arial"/>
        </w:rPr>
        <w:t xml:space="preserve"> </w:t>
      </w:r>
    </w:p>
    <w:p w:rsidR="00E21CC4" w:rsidRDefault="002432FA" w:rsidP="00E21CC4">
      <w:pPr>
        <w:autoSpaceDE w:val="0"/>
        <w:autoSpaceDN w:val="0"/>
        <w:adjustRightInd w:val="0"/>
        <w:spacing w:after="0" w:line="360" w:lineRule="auto"/>
        <w:jc w:val="both"/>
        <w:rPr>
          <w:rFonts w:ascii="Arial" w:hAnsi="Arial" w:cs="Arial"/>
        </w:rPr>
      </w:pPr>
      <w:r w:rsidRPr="004B4A17">
        <w:rPr>
          <w:rFonts w:ascii="Arial" w:hAnsi="Arial" w:cs="Arial"/>
        </w:rPr>
        <w:t xml:space="preserve">Several of the KPIs that are included in the strategy use survey data which has an associated sampling error. In particular, the Travel Survey </w:t>
      </w:r>
      <w:r>
        <w:rPr>
          <w:rFonts w:ascii="Arial" w:hAnsi="Arial" w:cs="Arial"/>
        </w:rPr>
        <w:t xml:space="preserve">for Northern Ireland (TSNI) </w:t>
      </w:r>
      <w:r w:rsidRPr="004B4A17">
        <w:rPr>
          <w:rFonts w:ascii="Arial" w:hAnsi="Arial" w:cs="Arial"/>
        </w:rPr>
        <w:t xml:space="preserve">estimates </w:t>
      </w:r>
      <w:r w:rsidRPr="001D552C">
        <w:rPr>
          <w:rFonts w:ascii="Arial" w:hAnsi="Arial" w:cs="Arial"/>
        </w:rPr>
        <w:t xml:space="preserve">concerning </w:t>
      </w:r>
      <w:r w:rsidR="004E138D" w:rsidRPr="001D552C">
        <w:rPr>
          <w:rFonts w:ascii="Arial" w:hAnsi="Arial" w:cs="Arial"/>
        </w:rPr>
        <w:t xml:space="preserve">miles travelled by </w:t>
      </w:r>
      <w:r w:rsidR="004E138D" w:rsidRPr="001D552C">
        <w:rPr>
          <w:rFonts w:ascii="Arial" w:hAnsi="Arial" w:cs="Arial"/>
          <w:b/>
        </w:rPr>
        <w:t>motorcyclists</w:t>
      </w:r>
      <w:r w:rsidR="004E138D" w:rsidRPr="001D552C">
        <w:rPr>
          <w:rFonts w:ascii="Arial" w:hAnsi="Arial" w:cs="Arial"/>
        </w:rPr>
        <w:t xml:space="preserve"> and </w:t>
      </w:r>
      <w:r w:rsidR="004E138D" w:rsidRPr="001D552C">
        <w:rPr>
          <w:rFonts w:ascii="Arial" w:hAnsi="Arial" w:cs="Arial"/>
          <w:b/>
        </w:rPr>
        <w:t>pedal cycl</w:t>
      </w:r>
      <w:r w:rsidR="00A9194F" w:rsidRPr="001D552C">
        <w:rPr>
          <w:rFonts w:ascii="Arial" w:hAnsi="Arial" w:cs="Arial"/>
          <w:b/>
        </w:rPr>
        <w:t>ists</w:t>
      </w:r>
      <w:r w:rsidR="004E138D" w:rsidRPr="001D552C">
        <w:rPr>
          <w:rFonts w:ascii="Arial" w:hAnsi="Arial" w:cs="Arial"/>
        </w:rPr>
        <w:t xml:space="preserve"> </w:t>
      </w:r>
      <w:r w:rsidRPr="001D552C">
        <w:rPr>
          <w:rFonts w:ascii="Arial" w:hAnsi="Arial" w:cs="Arial"/>
        </w:rPr>
        <w:t>have</w:t>
      </w:r>
      <w:r w:rsidRPr="004B4A17">
        <w:rPr>
          <w:rFonts w:ascii="Arial" w:hAnsi="Arial" w:cs="Arial"/>
        </w:rPr>
        <w:t xml:space="preserve"> a high level of unc</w:t>
      </w:r>
      <w:r>
        <w:rPr>
          <w:rFonts w:ascii="Arial" w:hAnsi="Arial" w:cs="Arial"/>
        </w:rPr>
        <w:t>ertainty around the statistics</w:t>
      </w:r>
      <w:r w:rsidR="00672388">
        <w:rPr>
          <w:rFonts w:ascii="Arial" w:hAnsi="Arial" w:cs="Arial"/>
        </w:rPr>
        <w:t xml:space="preserve">, and ASRB therefore recommends changing the two KPIs </w:t>
      </w:r>
      <w:r w:rsidR="00F54C5D">
        <w:rPr>
          <w:rFonts w:ascii="Arial" w:hAnsi="Arial" w:cs="Arial"/>
        </w:rPr>
        <w:t xml:space="preserve">which use these data </w:t>
      </w:r>
      <w:r w:rsidR="00672388">
        <w:rPr>
          <w:rFonts w:ascii="Arial" w:hAnsi="Arial" w:cs="Arial"/>
        </w:rPr>
        <w:t>to an alternative data source.</w:t>
      </w:r>
    </w:p>
    <w:p w:rsidR="00F54C5D" w:rsidRDefault="00F54C5D" w:rsidP="00E21CC4">
      <w:pPr>
        <w:autoSpaceDE w:val="0"/>
        <w:autoSpaceDN w:val="0"/>
        <w:adjustRightInd w:val="0"/>
        <w:spacing w:after="0" w:line="360" w:lineRule="auto"/>
        <w:jc w:val="both"/>
        <w:rPr>
          <w:rFonts w:ascii="Arial" w:hAnsi="Arial" w:cs="Arial"/>
        </w:rPr>
      </w:pPr>
    </w:p>
    <w:p w:rsidR="00672388" w:rsidRPr="00F54C5D" w:rsidRDefault="00672388" w:rsidP="00672388">
      <w:pPr>
        <w:pStyle w:val="ListParagraph"/>
        <w:numPr>
          <w:ilvl w:val="0"/>
          <w:numId w:val="4"/>
        </w:numPr>
        <w:spacing w:line="360" w:lineRule="auto"/>
        <w:rPr>
          <w:rFonts w:ascii="Arial" w:hAnsi="Arial" w:cs="Arial"/>
          <w:b/>
          <w:bCs/>
          <w:u w:val="single"/>
        </w:rPr>
      </w:pPr>
      <w:r w:rsidRPr="00F54C5D">
        <w:rPr>
          <w:rFonts w:ascii="Arial" w:hAnsi="Arial" w:cs="Arial"/>
          <w:b/>
        </w:rPr>
        <w:lastRenderedPageBreak/>
        <w:t>KPI5: Rate of killed or seriously injured motorcyclists per 100 million motorcycle kilometres</w:t>
      </w:r>
    </w:p>
    <w:p w:rsidR="00823B03" w:rsidRDefault="001A1B37" w:rsidP="004B4A17">
      <w:pPr>
        <w:spacing w:after="0" w:line="360" w:lineRule="auto"/>
        <w:rPr>
          <w:rFonts w:ascii="Arial" w:hAnsi="Arial" w:cs="Arial"/>
        </w:rPr>
      </w:pPr>
      <w:r>
        <w:rPr>
          <w:rFonts w:ascii="Arial" w:hAnsi="Arial" w:cs="Arial"/>
        </w:rPr>
        <w:t xml:space="preserve"> </w:t>
      </w:r>
      <w:r w:rsidR="00672388">
        <w:rPr>
          <w:rFonts w:ascii="Arial" w:hAnsi="Arial" w:cs="Arial"/>
        </w:rPr>
        <w:t>I</w:t>
      </w:r>
      <w:r>
        <w:rPr>
          <w:rFonts w:ascii="Arial" w:hAnsi="Arial" w:cs="Arial"/>
        </w:rPr>
        <w:t>n 201</w:t>
      </w:r>
      <w:r w:rsidR="003078D1">
        <w:rPr>
          <w:rFonts w:ascii="Arial" w:hAnsi="Arial" w:cs="Arial"/>
        </w:rPr>
        <w:t xml:space="preserve">6, despite amending the methodology to </w:t>
      </w:r>
      <w:r w:rsidR="00713F73">
        <w:rPr>
          <w:rFonts w:ascii="Arial" w:hAnsi="Arial" w:cs="Arial"/>
        </w:rPr>
        <w:t>estimate the reduction in</w:t>
      </w:r>
      <w:r w:rsidR="003078D1" w:rsidRPr="003078D1">
        <w:rPr>
          <w:rFonts w:ascii="Arial" w:hAnsi="Arial" w:cs="Arial"/>
        </w:rPr>
        <w:t xml:space="preserve"> </w:t>
      </w:r>
      <w:r w:rsidR="005722D7">
        <w:rPr>
          <w:rFonts w:ascii="Arial" w:hAnsi="Arial" w:cs="Arial"/>
        </w:rPr>
        <w:t>TSNI</w:t>
      </w:r>
      <w:r w:rsidR="003078D1" w:rsidRPr="003078D1">
        <w:rPr>
          <w:rFonts w:ascii="Arial" w:hAnsi="Arial" w:cs="Arial"/>
        </w:rPr>
        <w:t xml:space="preserve"> sampling errors arising from a larger pooled sample size,</w:t>
      </w:r>
      <w:r w:rsidRPr="003078D1">
        <w:rPr>
          <w:rFonts w:ascii="Arial" w:hAnsi="Arial" w:cs="Arial"/>
        </w:rPr>
        <w:t xml:space="preserve"> </w:t>
      </w:r>
      <w:r w:rsidR="00672388">
        <w:rPr>
          <w:rFonts w:ascii="Arial" w:hAnsi="Arial" w:cs="Arial"/>
        </w:rPr>
        <w:t>KPI5</w:t>
      </w:r>
      <w:r>
        <w:rPr>
          <w:rFonts w:ascii="Arial" w:hAnsi="Arial" w:cs="Arial"/>
        </w:rPr>
        <w:t xml:space="preserve"> </w:t>
      </w:r>
      <w:r w:rsidR="00824C69">
        <w:rPr>
          <w:rFonts w:ascii="Arial" w:hAnsi="Arial" w:cs="Arial"/>
        </w:rPr>
        <w:t xml:space="preserve">was published </w:t>
      </w:r>
      <w:r>
        <w:rPr>
          <w:rFonts w:ascii="Arial" w:hAnsi="Arial" w:cs="Arial"/>
        </w:rPr>
        <w:t xml:space="preserve">with the following caveat: </w:t>
      </w:r>
    </w:p>
    <w:p w:rsidR="003078D1" w:rsidRDefault="001A1B37" w:rsidP="008C2E87">
      <w:pPr>
        <w:ind w:left="720"/>
        <w:rPr>
          <w:i/>
          <w:sz w:val="23"/>
          <w:szCs w:val="23"/>
        </w:rPr>
      </w:pPr>
      <w:r w:rsidRPr="001A1B37">
        <w:rPr>
          <w:i/>
        </w:rPr>
        <w:t>Motorcyclist KSIs have reduced by over one-third (36%) between the Strategy baseline period and 2011-2015. However, the very high levels of uncertainty associated with the distance travelled estimates means that no robust trend for this can yet be established</w:t>
      </w:r>
      <w:r w:rsidR="006D6A75">
        <w:rPr>
          <w:i/>
        </w:rPr>
        <w:t>.</w:t>
      </w:r>
      <w:r w:rsidR="00C305DD">
        <w:rPr>
          <w:i/>
        </w:rPr>
        <w:t>.</w:t>
      </w:r>
      <w:r w:rsidRPr="001A1B37">
        <w:rPr>
          <w:i/>
        </w:rPr>
        <w:t>.</w:t>
      </w:r>
      <w:r>
        <w:rPr>
          <w:i/>
        </w:rPr>
        <w:t xml:space="preserve"> </w:t>
      </w:r>
      <w:r w:rsidRPr="001A1B37">
        <w:rPr>
          <w:i/>
          <w:sz w:val="23"/>
          <w:szCs w:val="23"/>
        </w:rPr>
        <w:t>One cannot safely conclude at this stage whether there has been any real change in motorcyclist risk over the monitoring period.</w:t>
      </w:r>
    </w:p>
    <w:p w:rsidR="008C2E87" w:rsidRDefault="00713F73" w:rsidP="003078D1">
      <w:pPr>
        <w:spacing w:line="360" w:lineRule="auto"/>
        <w:rPr>
          <w:rFonts w:ascii="Arial" w:hAnsi="Arial" w:cs="Arial"/>
        </w:rPr>
      </w:pPr>
      <w:r w:rsidRPr="00713F73">
        <w:rPr>
          <w:rFonts w:ascii="Arial" w:hAnsi="Arial" w:cs="Arial"/>
        </w:rPr>
        <w:t>It was known at the time that the amended methodology was still limited by overlapping 3-year survey time periods, and so a</w:t>
      </w:r>
      <w:r w:rsidR="003078D1" w:rsidRPr="00713F73">
        <w:rPr>
          <w:rFonts w:ascii="Arial" w:hAnsi="Arial" w:cs="Arial"/>
        </w:rPr>
        <w:t>fter publication in 2016, ASRB carried out a comprehensive review of this indicator to determine whether confidence int</w:t>
      </w:r>
      <w:r w:rsidRPr="00713F73">
        <w:rPr>
          <w:rFonts w:ascii="Arial" w:hAnsi="Arial" w:cs="Arial"/>
        </w:rPr>
        <w:t xml:space="preserve">ervals </w:t>
      </w:r>
      <w:r w:rsidR="003078D1" w:rsidRPr="00713F73">
        <w:rPr>
          <w:rFonts w:ascii="Arial" w:hAnsi="Arial" w:cs="Arial"/>
        </w:rPr>
        <w:t>in future reports could be further improved by running the calculations using the pooled source data for the precise time period, i.e., removing any element of overlap across years.</w:t>
      </w:r>
    </w:p>
    <w:p w:rsidR="00C305DD" w:rsidRDefault="00C305DD" w:rsidP="003078D1">
      <w:pPr>
        <w:spacing w:line="360" w:lineRule="auto"/>
        <w:rPr>
          <w:rFonts w:ascii="Arial" w:hAnsi="Arial" w:cs="Arial"/>
        </w:rPr>
      </w:pPr>
      <w:r>
        <w:rPr>
          <w:rFonts w:ascii="Arial" w:hAnsi="Arial" w:cs="Arial"/>
        </w:rPr>
        <w:t xml:space="preserve">Results from this review have lead to the conclusion that the </w:t>
      </w:r>
      <w:r w:rsidR="005722D7">
        <w:rPr>
          <w:rFonts w:ascii="Arial" w:hAnsi="Arial" w:cs="Arial"/>
        </w:rPr>
        <w:t>TSNI</w:t>
      </w:r>
      <w:r>
        <w:rPr>
          <w:rFonts w:ascii="Arial" w:hAnsi="Arial" w:cs="Arial"/>
        </w:rPr>
        <w:t xml:space="preserve"> estimates used in this </w:t>
      </w:r>
      <w:r w:rsidRPr="001D552C">
        <w:rPr>
          <w:rFonts w:ascii="Arial" w:hAnsi="Arial" w:cs="Arial"/>
        </w:rPr>
        <w:t>indicator are not fit for purpose</w:t>
      </w:r>
      <w:r w:rsidR="00A9194F" w:rsidRPr="001D552C">
        <w:rPr>
          <w:rFonts w:ascii="Arial" w:hAnsi="Arial" w:cs="Arial"/>
        </w:rPr>
        <w:t xml:space="preserve"> </w:t>
      </w:r>
      <w:r w:rsidR="004E138D" w:rsidRPr="001D552C">
        <w:rPr>
          <w:rFonts w:ascii="Arial" w:hAnsi="Arial" w:cs="Arial"/>
        </w:rPr>
        <w:t>due to the low numbers of motorcyclists in the sample;</w:t>
      </w:r>
      <w:r>
        <w:rPr>
          <w:rFonts w:ascii="Arial" w:hAnsi="Arial" w:cs="Arial"/>
        </w:rPr>
        <w:t xml:space="preserve"> despite pooling the data and examining for the precise period, there is still a very high level of uncertainty and no robust trend can be established. </w:t>
      </w:r>
      <w:r w:rsidRPr="00E5780F">
        <w:rPr>
          <w:rFonts w:ascii="Arial" w:hAnsi="Arial" w:cs="Arial"/>
        </w:rPr>
        <w:t>See Figure 1 below.</w:t>
      </w:r>
      <w:r w:rsidR="00E5780F" w:rsidRPr="00E5780F">
        <w:rPr>
          <w:rFonts w:ascii="Arial" w:hAnsi="Arial" w:cs="Arial"/>
        </w:rPr>
        <w:t xml:space="preserve"> The 95% Confidence </w:t>
      </w:r>
      <w:r w:rsidR="00A30485">
        <w:rPr>
          <w:rFonts w:ascii="Arial" w:hAnsi="Arial" w:cs="Arial"/>
        </w:rPr>
        <w:t>R</w:t>
      </w:r>
      <w:r w:rsidR="00E5780F" w:rsidRPr="00E5780F">
        <w:rPr>
          <w:rFonts w:ascii="Arial" w:hAnsi="Arial" w:cs="Arial"/>
        </w:rPr>
        <w:t xml:space="preserve">ange around each estimate </w:t>
      </w:r>
      <w:r w:rsidR="00823B03">
        <w:rPr>
          <w:rFonts w:ascii="Arial" w:hAnsi="Arial" w:cs="Arial"/>
        </w:rPr>
        <w:t>is</w:t>
      </w:r>
      <w:r w:rsidR="00E5780F" w:rsidRPr="00E5780F">
        <w:rPr>
          <w:rFonts w:ascii="Arial" w:hAnsi="Arial" w:cs="Arial"/>
        </w:rPr>
        <w:t xml:space="preserve"> very wide – in practical terms, the true value will lie somewhere within the range, and because all of the ranges overlap, it is impossible to say whether the trend is going up or down</w:t>
      </w:r>
      <w:r w:rsidR="00E5780F">
        <w:t>.</w:t>
      </w:r>
    </w:p>
    <w:p w:rsidR="00C305DD" w:rsidRDefault="00C305DD" w:rsidP="003078D1">
      <w:pPr>
        <w:spacing w:line="360" w:lineRule="auto"/>
        <w:rPr>
          <w:rFonts w:ascii="Arial" w:hAnsi="Arial" w:cs="Arial"/>
        </w:rPr>
      </w:pPr>
      <w:r>
        <w:rPr>
          <w:rFonts w:ascii="Arial" w:hAnsi="Arial" w:cs="Arial"/>
        </w:rPr>
        <w:t xml:space="preserve">Figure 1: Rate of motorcyclist KSIs per 100 million motorcycle KMs with associated </w:t>
      </w:r>
      <w:r w:rsidR="00E5780F">
        <w:rPr>
          <w:rFonts w:ascii="Arial" w:hAnsi="Arial" w:cs="Arial"/>
        </w:rPr>
        <w:t>95% Confidence Range (5 year rolling average).</w:t>
      </w:r>
    </w:p>
    <w:p w:rsidR="00C305DD" w:rsidRPr="00713F73" w:rsidRDefault="00AE2887" w:rsidP="003078D1">
      <w:pPr>
        <w:spacing w:after="0" w:line="360" w:lineRule="auto"/>
        <w:rPr>
          <w:rFonts w:ascii="Arial" w:hAnsi="Arial" w:cs="Arial"/>
        </w:rPr>
      </w:pPr>
      <w:r w:rsidRPr="00AE2887">
        <w:rPr>
          <w:rFonts w:ascii="Arial" w:hAnsi="Arial" w:cs="Arial"/>
          <w:noProof/>
          <w:lang w:eastAsia="en-GB"/>
        </w:rPr>
        <w:drawing>
          <wp:inline distT="0" distB="0" distL="0" distR="0">
            <wp:extent cx="5762625" cy="2524125"/>
            <wp:effectExtent l="19050" t="0" r="9525"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D535E" w:rsidRDefault="00823B03" w:rsidP="00004633">
      <w:pPr>
        <w:spacing w:after="0" w:line="360" w:lineRule="auto"/>
        <w:rPr>
          <w:rFonts w:ascii="Arial" w:hAnsi="Arial" w:cs="Arial"/>
        </w:rPr>
      </w:pPr>
      <w:r w:rsidRPr="00823B03">
        <w:rPr>
          <w:rFonts w:ascii="Arial" w:hAnsi="Arial" w:cs="Arial"/>
        </w:rPr>
        <w:lastRenderedPageBreak/>
        <w:t>Because the NI Travel Survey is not fit-for-purpose</w:t>
      </w:r>
      <w:r w:rsidR="00DE7987">
        <w:rPr>
          <w:rFonts w:ascii="Arial" w:hAnsi="Arial" w:cs="Arial"/>
        </w:rPr>
        <w:t xml:space="preserve"> </w:t>
      </w:r>
      <w:r w:rsidRPr="00823B03">
        <w:rPr>
          <w:rFonts w:ascii="Arial" w:hAnsi="Arial" w:cs="Arial"/>
        </w:rPr>
        <w:t>for the Motorcycle KPI</w:t>
      </w:r>
      <w:r w:rsidR="001D552C">
        <w:rPr>
          <w:rFonts w:ascii="Arial" w:hAnsi="Arial" w:cs="Arial"/>
        </w:rPr>
        <w:t xml:space="preserve"> (</w:t>
      </w:r>
      <w:r w:rsidR="001D552C" w:rsidRPr="001D552C">
        <w:rPr>
          <w:rFonts w:ascii="Arial" w:hAnsi="Arial" w:cs="Arial"/>
        </w:rPr>
        <w:t>due to the low numbers of motorcyclists in the sample)</w:t>
      </w:r>
      <w:r w:rsidRPr="001D552C">
        <w:rPr>
          <w:rFonts w:ascii="Arial" w:hAnsi="Arial" w:cs="Arial"/>
        </w:rPr>
        <w:t>,</w:t>
      </w:r>
      <w:r w:rsidRPr="00823B03">
        <w:rPr>
          <w:rFonts w:ascii="Arial" w:hAnsi="Arial" w:cs="Arial"/>
        </w:rPr>
        <w:t xml:space="preserve"> </w:t>
      </w:r>
      <w:r>
        <w:rPr>
          <w:rFonts w:ascii="Arial" w:hAnsi="Arial" w:cs="Arial"/>
        </w:rPr>
        <w:t xml:space="preserve">a change to this indicator is </w:t>
      </w:r>
      <w:r w:rsidR="00A57082">
        <w:rPr>
          <w:rFonts w:ascii="Arial" w:hAnsi="Arial" w:cs="Arial"/>
        </w:rPr>
        <w:t>recommended</w:t>
      </w:r>
      <w:r w:rsidRPr="00823B03">
        <w:rPr>
          <w:rFonts w:ascii="Arial" w:hAnsi="Arial" w:cs="Arial"/>
        </w:rPr>
        <w:t xml:space="preserve">. </w:t>
      </w:r>
      <w:r>
        <w:rPr>
          <w:rFonts w:ascii="Arial" w:hAnsi="Arial" w:cs="Arial"/>
        </w:rPr>
        <w:t xml:space="preserve">Specifically, it is proposed that instead of reporting the rate of KSIs per 100 million KMs, a </w:t>
      </w:r>
      <w:r w:rsidRPr="00823B03">
        <w:rPr>
          <w:rFonts w:ascii="Arial" w:hAnsi="Arial" w:cs="Arial"/>
          <w:b/>
        </w:rPr>
        <w:t>rate of motorcycle KSIs per 1</w:t>
      </w:r>
      <w:r w:rsidR="00DE7987">
        <w:rPr>
          <w:rFonts w:ascii="Arial" w:hAnsi="Arial" w:cs="Arial"/>
          <w:b/>
        </w:rPr>
        <w:t>,</w:t>
      </w:r>
      <w:r w:rsidRPr="00823B03">
        <w:rPr>
          <w:rFonts w:ascii="Arial" w:hAnsi="Arial" w:cs="Arial"/>
          <w:b/>
        </w:rPr>
        <w:t>000 license</w:t>
      </w:r>
      <w:r w:rsidR="00A57082">
        <w:rPr>
          <w:rFonts w:ascii="Arial" w:hAnsi="Arial" w:cs="Arial"/>
          <w:b/>
        </w:rPr>
        <w:t>d</w:t>
      </w:r>
      <w:r w:rsidRPr="00823B03">
        <w:rPr>
          <w:rFonts w:ascii="Arial" w:hAnsi="Arial" w:cs="Arial"/>
          <w:b/>
        </w:rPr>
        <w:t xml:space="preserve"> </w:t>
      </w:r>
      <w:r w:rsidR="00AA08BC">
        <w:rPr>
          <w:rFonts w:ascii="Arial" w:hAnsi="Arial" w:cs="Arial"/>
          <w:b/>
        </w:rPr>
        <w:t>motorcycles</w:t>
      </w:r>
      <w:r>
        <w:rPr>
          <w:rFonts w:ascii="Arial" w:hAnsi="Arial" w:cs="Arial"/>
          <w:b/>
        </w:rPr>
        <w:t xml:space="preserve"> </w:t>
      </w:r>
      <w:r>
        <w:rPr>
          <w:rFonts w:ascii="Arial" w:hAnsi="Arial" w:cs="Arial"/>
        </w:rPr>
        <w:t>is published.</w:t>
      </w:r>
      <w:r w:rsidR="004D535E">
        <w:rPr>
          <w:rFonts w:ascii="Arial" w:hAnsi="Arial" w:cs="Arial"/>
        </w:rPr>
        <w:t xml:space="preserve"> The data used to create this rate does not come from a sample survey, and therefore does not have sampling errors. Figure 2 below plots the trend. </w:t>
      </w:r>
      <w:r w:rsidR="009817EA">
        <w:rPr>
          <w:rFonts w:ascii="Arial" w:hAnsi="Arial" w:cs="Arial"/>
        </w:rPr>
        <w:t xml:space="preserve">The rate in 2015 was </w:t>
      </w:r>
      <w:r w:rsidR="00A30485">
        <w:rPr>
          <w:rFonts w:ascii="Arial" w:hAnsi="Arial" w:cs="Arial"/>
        </w:rPr>
        <w:t>28</w:t>
      </w:r>
      <w:r w:rsidR="00F00D2C">
        <w:rPr>
          <w:rFonts w:ascii="Arial" w:hAnsi="Arial" w:cs="Arial"/>
        </w:rPr>
        <w:t>% below the 2004-2008 baseline</w:t>
      </w:r>
      <w:r w:rsidR="009817EA">
        <w:rPr>
          <w:rFonts w:ascii="Arial" w:hAnsi="Arial" w:cs="Arial"/>
        </w:rPr>
        <w:t xml:space="preserve"> providing a clear indication of improvement.</w:t>
      </w:r>
    </w:p>
    <w:p w:rsidR="004D535E" w:rsidRDefault="004D535E" w:rsidP="00004633">
      <w:pPr>
        <w:spacing w:after="0" w:line="360" w:lineRule="auto"/>
        <w:rPr>
          <w:rFonts w:ascii="Arial" w:hAnsi="Arial" w:cs="Arial"/>
        </w:rPr>
      </w:pPr>
    </w:p>
    <w:p w:rsidR="004D535E" w:rsidRPr="004D535E" w:rsidRDefault="004D535E" w:rsidP="004D535E">
      <w:pPr>
        <w:spacing w:line="360" w:lineRule="auto"/>
        <w:rPr>
          <w:rFonts w:ascii="Arial" w:hAnsi="Arial" w:cs="Arial"/>
        </w:rPr>
      </w:pPr>
      <w:r w:rsidRPr="004D535E">
        <w:rPr>
          <w:rFonts w:ascii="Arial" w:hAnsi="Arial" w:cs="Arial"/>
        </w:rPr>
        <w:t xml:space="preserve">Figure 2: </w:t>
      </w:r>
      <w:r w:rsidR="00A30485">
        <w:rPr>
          <w:rFonts w:ascii="Arial" w:hAnsi="Arial" w:cs="Arial"/>
          <w:bCs/>
          <w:lang w:val="en-US"/>
        </w:rPr>
        <w:t>Rate of Motorcycle KSIs per 1</w:t>
      </w:r>
      <w:r w:rsidR="005226F9">
        <w:rPr>
          <w:rFonts w:ascii="Arial" w:hAnsi="Arial" w:cs="Arial"/>
          <w:bCs/>
          <w:lang w:val="en-US"/>
        </w:rPr>
        <w:t>,</w:t>
      </w:r>
      <w:r w:rsidR="00A30485">
        <w:rPr>
          <w:rFonts w:ascii="Arial" w:hAnsi="Arial" w:cs="Arial"/>
          <w:bCs/>
          <w:lang w:val="en-US"/>
        </w:rPr>
        <w:t xml:space="preserve">000 licensed </w:t>
      </w:r>
      <w:r w:rsidR="00AA08BC">
        <w:rPr>
          <w:rFonts w:ascii="Arial" w:hAnsi="Arial" w:cs="Arial"/>
          <w:bCs/>
          <w:lang w:val="en-US"/>
        </w:rPr>
        <w:t>motorcycles</w:t>
      </w:r>
      <w:r w:rsidR="00D06C43">
        <w:rPr>
          <w:rFonts w:ascii="Arial" w:hAnsi="Arial" w:cs="Arial"/>
          <w:bCs/>
          <w:lang w:val="en-US"/>
        </w:rPr>
        <w:t>, 2009-2015</w:t>
      </w:r>
    </w:p>
    <w:p w:rsidR="004B4A17" w:rsidRPr="00823B03" w:rsidRDefault="000C74B4" w:rsidP="00004633">
      <w:pPr>
        <w:spacing w:after="0" w:line="360" w:lineRule="auto"/>
        <w:rPr>
          <w:rFonts w:ascii="Arial" w:hAnsi="Arial" w:cs="Arial"/>
        </w:rPr>
      </w:pPr>
      <w:r w:rsidRPr="000C74B4">
        <w:rPr>
          <w:rFonts w:ascii="Arial" w:hAnsi="Arial" w:cs="Arial"/>
          <w:noProof/>
          <w:lang w:eastAsia="en-GB"/>
        </w:rPr>
        <w:drawing>
          <wp:inline distT="0" distB="0" distL="0" distR="0">
            <wp:extent cx="5686425" cy="2409825"/>
            <wp:effectExtent l="19050" t="0" r="9525"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20CC4" w:rsidRDefault="004B4A17" w:rsidP="00E21CC4">
      <w:pPr>
        <w:spacing w:after="0" w:line="360" w:lineRule="auto"/>
        <w:rPr>
          <w:rFonts w:ascii="Arial" w:hAnsi="Arial" w:cs="Arial"/>
        </w:rPr>
      </w:pPr>
      <w:r>
        <w:t xml:space="preserve"> </w:t>
      </w:r>
    </w:p>
    <w:p w:rsidR="004B4A17" w:rsidRDefault="009817EA" w:rsidP="00004633">
      <w:pPr>
        <w:spacing w:line="360" w:lineRule="auto"/>
        <w:rPr>
          <w:rFonts w:ascii="Arial" w:hAnsi="Arial" w:cs="Arial"/>
          <w:u w:val="single"/>
        </w:rPr>
      </w:pPr>
      <w:r w:rsidRPr="009817EA">
        <w:rPr>
          <w:rFonts w:ascii="Arial" w:hAnsi="Arial" w:cs="Arial"/>
          <w:u w:val="single"/>
        </w:rPr>
        <w:t>Limitations to the new data</w:t>
      </w:r>
    </w:p>
    <w:p w:rsidR="00896F46" w:rsidRDefault="009817EA" w:rsidP="00004633">
      <w:pPr>
        <w:spacing w:line="360" w:lineRule="auto"/>
        <w:rPr>
          <w:rFonts w:ascii="Arial" w:hAnsi="Arial" w:cs="Arial"/>
        </w:rPr>
      </w:pPr>
      <w:r>
        <w:rPr>
          <w:rFonts w:ascii="Arial" w:hAnsi="Arial" w:cs="Arial"/>
        </w:rPr>
        <w:t>While the proposed new data source is not hindered by sampling error, there are still limitations to the data</w:t>
      </w:r>
      <w:r w:rsidR="00C4534E">
        <w:rPr>
          <w:rFonts w:ascii="Arial" w:hAnsi="Arial" w:cs="Arial"/>
        </w:rPr>
        <w:t xml:space="preserve"> which are unquantifiable</w:t>
      </w:r>
      <w:r>
        <w:rPr>
          <w:rFonts w:ascii="Arial" w:hAnsi="Arial" w:cs="Arial"/>
        </w:rPr>
        <w:t xml:space="preserve">. It does not take in to account how far each </w:t>
      </w:r>
      <w:r w:rsidRPr="00C4534E">
        <w:rPr>
          <w:rFonts w:ascii="Arial" w:hAnsi="Arial" w:cs="Arial"/>
        </w:rPr>
        <w:t xml:space="preserve">motorcycle will travel, and an assumption is therefore inherent that all will travel the same distance. However, </w:t>
      </w:r>
      <w:r w:rsidR="00C4534E" w:rsidRPr="00C4534E">
        <w:rPr>
          <w:rFonts w:ascii="Arial" w:hAnsi="Arial" w:cs="Arial"/>
        </w:rPr>
        <w:t>this is less of a limitation when examining trends</w:t>
      </w:r>
      <w:r w:rsidR="00C4534E">
        <w:rPr>
          <w:rFonts w:ascii="Arial" w:hAnsi="Arial" w:cs="Arial"/>
        </w:rPr>
        <w:t>,</w:t>
      </w:r>
      <w:r w:rsidR="00C4534E" w:rsidRPr="00C4534E">
        <w:rPr>
          <w:rFonts w:ascii="Arial" w:hAnsi="Arial" w:cs="Arial"/>
        </w:rPr>
        <w:t xml:space="preserve"> assuming any potential uncertainty remains reasonably constant over time</w:t>
      </w:r>
      <w:r w:rsidR="00C4534E">
        <w:rPr>
          <w:rFonts w:ascii="Arial" w:hAnsi="Arial" w:cs="Arial"/>
        </w:rPr>
        <w:t xml:space="preserve">, and in the absence of usable kilometres travelled data, it is the next best estimator of motorcyclist </w:t>
      </w:r>
      <w:r w:rsidR="00C14F52">
        <w:rPr>
          <w:rFonts w:ascii="Arial" w:hAnsi="Arial" w:cs="Arial"/>
        </w:rPr>
        <w:t xml:space="preserve">casualty risk </w:t>
      </w:r>
      <w:r w:rsidR="00C4534E">
        <w:rPr>
          <w:rFonts w:ascii="Arial" w:hAnsi="Arial" w:cs="Arial"/>
        </w:rPr>
        <w:t xml:space="preserve">exposure. </w:t>
      </w:r>
    </w:p>
    <w:p w:rsidR="00A57082" w:rsidRDefault="00A57082" w:rsidP="00004633">
      <w:pPr>
        <w:spacing w:line="360" w:lineRule="auto"/>
        <w:rPr>
          <w:rFonts w:ascii="Arial" w:hAnsi="Arial" w:cs="Arial"/>
        </w:rPr>
      </w:pPr>
    </w:p>
    <w:p w:rsidR="002432FA" w:rsidRPr="00A56E68" w:rsidRDefault="002432FA" w:rsidP="00A56E68">
      <w:pPr>
        <w:pStyle w:val="ListParagraph"/>
        <w:numPr>
          <w:ilvl w:val="0"/>
          <w:numId w:val="6"/>
        </w:numPr>
        <w:rPr>
          <w:rFonts w:ascii="Arial" w:hAnsi="Arial" w:cs="Arial"/>
          <w:b/>
          <w:bCs/>
        </w:rPr>
      </w:pPr>
      <w:r w:rsidRPr="00A56E68">
        <w:rPr>
          <w:rFonts w:ascii="Arial" w:hAnsi="Arial" w:cs="Arial"/>
          <w:b/>
          <w:bCs/>
        </w:rPr>
        <w:t xml:space="preserve">KPI4: </w:t>
      </w:r>
      <w:r w:rsidRPr="00A56E68">
        <w:rPr>
          <w:rFonts w:ascii="Arial" w:hAnsi="Arial" w:cs="Arial"/>
          <w:b/>
        </w:rPr>
        <w:t>Rate of killed or seriously injured pedal cyclists per 100 million kilometres cycled</w:t>
      </w:r>
    </w:p>
    <w:p w:rsidR="00A56E68" w:rsidRDefault="00A56E68" w:rsidP="00004633">
      <w:pPr>
        <w:spacing w:line="360" w:lineRule="auto"/>
        <w:rPr>
          <w:rFonts w:ascii="Arial" w:hAnsi="Arial" w:cs="Arial"/>
        </w:rPr>
      </w:pPr>
      <w:r>
        <w:rPr>
          <w:rFonts w:ascii="Arial" w:hAnsi="Arial" w:cs="Arial"/>
        </w:rPr>
        <w:t xml:space="preserve">Like the motorcycling KPI, the pedal cycle indicator was also published with a caveat in 2016: </w:t>
      </w:r>
    </w:p>
    <w:p w:rsidR="00A56E68" w:rsidRPr="00A56E68" w:rsidRDefault="00A56E68" w:rsidP="00674A71">
      <w:pPr>
        <w:ind w:left="709"/>
        <w:rPr>
          <w:rFonts w:ascii="Arial" w:hAnsi="Arial" w:cs="Arial"/>
          <w:i/>
        </w:rPr>
      </w:pPr>
      <w:r>
        <w:rPr>
          <w:rFonts w:ascii="Arial" w:hAnsi="Arial" w:cs="Arial"/>
        </w:rPr>
        <w:tab/>
      </w:r>
      <w:r w:rsidRPr="00A56E68">
        <w:rPr>
          <w:i/>
          <w:sz w:val="23"/>
          <w:szCs w:val="23"/>
        </w:rPr>
        <w:t>The wide confidence interval</w:t>
      </w:r>
      <w:r w:rsidR="00D44F9A">
        <w:rPr>
          <w:i/>
          <w:sz w:val="23"/>
          <w:szCs w:val="23"/>
        </w:rPr>
        <w:t>s</w:t>
      </w:r>
      <w:r w:rsidRPr="00A56E68">
        <w:rPr>
          <w:i/>
          <w:sz w:val="23"/>
          <w:szCs w:val="23"/>
        </w:rPr>
        <w:t xml:space="preserve"> around the distance travelled estimates for cyclists currently makes it very difficult to reach any firm conclusions on the annual changes in </w:t>
      </w:r>
      <w:r w:rsidRPr="00A56E68">
        <w:rPr>
          <w:i/>
          <w:sz w:val="23"/>
          <w:szCs w:val="23"/>
        </w:rPr>
        <w:lastRenderedPageBreak/>
        <w:t>the rate indicator. Even pooling 2 additional years of Travel Survey data, does not show any statistically significant change in the cyclist KSI rate between the baseline period and the latest 2011-2015 figure.</w:t>
      </w:r>
      <w:r>
        <w:rPr>
          <w:i/>
          <w:sz w:val="23"/>
          <w:szCs w:val="23"/>
        </w:rPr>
        <w:t xml:space="preserve"> </w:t>
      </w:r>
      <w:r w:rsidRPr="00A56E68">
        <w:rPr>
          <w:i/>
          <w:sz w:val="23"/>
          <w:szCs w:val="23"/>
        </w:rPr>
        <w:t>We do know that cyclist KSIs have been increasing markedly since the Strategy baseline, with a 67% increase between 2004-2008 and 2011-2015, but, at this point, it is not possible to say to what extent this is in line with increased distance cycled during the same period.</w:t>
      </w:r>
    </w:p>
    <w:p w:rsidR="00A56E68" w:rsidRDefault="00A56E68" w:rsidP="00A56E68">
      <w:pPr>
        <w:spacing w:line="360" w:lineRule="auto"/>
        <w:rPr>
          <w:rFonts w:ascii="Arial" w:hAnsi="Arial" w:cs="Arial"/>
        </w:rPr>
      </w:pPr>
      <w:r w:rsidRPr="00713F73">
        <w:rPr>
          <w:rFonts w:ascii="Arial" w:hAnsi="Arial" w:cs="Arial"/>
        </w:rPr>
        <w:t>ASRB</w:t>
      </w:r>
      <w:r>
        <w:rPr>
          <w:rFonts w:ascii="Arial" w:hAnsi="Arial" w:cs="Arial"/>
        </w:rPr>
        <w:t xml:space="preserve"> again</w:t>
      </w:r>
      <w:r w:rsidRPr="00713F73">
        <w:rPr>
          <w:rFonts w:ascii="Arial" w:hAnsi="Arial" w:cs="Arial"/>
        </w:rPr>
        <w:t xml:space="preserve"> carried out a comprehensive review of this indicator to determine whether confidence intervals in future reports could be further improved by running the calculations using the pooled source data for the precise time period, i.e., removing any element of overlap across years.</w:t>
      </w:r>
    </w:p>
    <w:p w:rsidR="00A56E68" w:rsidRDefault="00A56E68" w:rsidP="00A56E68">
      <w:pPr>
        <w:spacing w:line="360" w:lineRule="auto"/>
      </w:pPr>
      <w:r>
        <w:rPr>
          <w:rFonts w:ascii="Arial" w:hAnsi="Arial" w:cs="Arial"/>
        </w:rPr>
        <w:t xml:space="preserve">Results from this review have lead to the conclusion that the Travel Survey estimates used in this indicator are not fit for </w:t>
      </w:r>
      <w:r w:rsidRPr="001D552C">
        <w:rPr>
          <w:rFonts w:ascii="Arial" w:hAnsi="Arial" w:cs="Arial"/>
        </w:rPr>
        <w:t>purpose</w:t>
      </w:r>
      <w:r w:rsidR="00DE7987" w:rsidRPr="001D552C">
        <w:rPr>
          <w:rFonts w:ascii="Arial" w:hAnsi="Arial" w:cs="Arial"/>
        </w:rPr>
        <w:t xml:space="preserve"> </w:t>
      </w:r>
      <w:r w:rsidR="004E138D" w:rsidRPr="001D552C">
        <w:rPr>
          <w:rFonts w:ascii="Arial" w:hAnsi="Arial" w:cs="Arial"/>
        </w:rPr>
        <w:t>(due to the low number of cyclists in the sample)</w:t>
      </w:r>
      <w:r w:rsidRPr="001D552C">
        <w:rPr>
          <w:rFonts w:ascii="Arial" w:hAnsi="Arial" w:cs="Arial"/>
        </w:rPr>
        <w:t>;</w:t>
      </w:r>
      <w:r>
        <w:rPr>
          <w:rFonts w:ascii="Arial" w:hAnsi="Arial" w:cs="Arial"/>
        </w:rPr>
        <w:t xml:space="preserve"> similar to the conclusions found for motorcycling, no robust trend can be established for pedal cyclists. </w:t>
      </w:r>
      <w:r w:rsidRPr="00E5780F">
        <w:rPr>
          <w:rFonts w:ascii="Arial" w:hAnsi="Arial" w:cs="Arial"/>
        </w:rPr>
        <w:t xml:space="preserve">See Figure </w:t>
      </w:r>
      <w:r w:rsidR="009A5F36">
        <w:rPr>
          <w:rFonts w:ascii="Arial" w:hAnsi="Arial" w:cs="Arial"/>
        </w:rPr>
        <w:t>3</w:t>
      </w:r>
      <w:r w:rsidRPr="00E5780F">
        <w:rPr>
          <w:rFonts w:ascii="Arial" w:hAnsi="Arial" w:cs="Arial"/>
        </w:rPr>
        <w:t xml:space="preserve"> below. The 95% Confidence </w:t>
      </w:r>
      <w:r>
        <w:rPr>
          <w:rFonts w:ascii="Arial" w:hAnsi="Arial" w:cs="Arial"/>
        </w:rPr>
        <w:t>R</w:t>
      </w:r>
      <w:r w:rsidRPr="00E5780F">
        <w:rPr>
          <w:rFonts w:ascii="Arial" w:hAnsi="Arial" w:cs="Arial"/>
        </w:rPr>
        <w:t xml:space="preserve">ange around each estimate </w:t>
      </w:r>
      <w:r>
        <w:rPr>
          <w:rFonts w:ascii="Arial" w:hAnsi="Arial" w:cs="Arial"/>
        </w:rPr>
        <w:t xml:space="preserve">is very wide and </w:t>
      </w:r>
      <w:r w:rsidRPr="00E5780F">
        <w:rPr>
          <w:rFonts w:ascii="Arial" w:hAnsi="Arial" w:cs="Arial"/>
        </w:rPr>
        <w:t>it is impossible to say whether the trend is going up or down</w:t>
      </w:r>
      <w:r>
        <w:t>.</w:t>
      </w:r>
    </w:p>
    <w:p w:rsidR="00A56E68" w:rsidRDefault="00A56E68" w:rsidP="00A56E68">
      <w:pPr>
        <w:spacing w:line="360" w:lineRule="auto"/>
      </w:pPr>
      <w:r>
        <w:rPr>
          <w:rFonts w:ascii="Arial" w:hAnsi="Arial" w:cs="Arial"/>
        </w:rPr>
        <w:t xml:space="preserve">Figure </w:t>
      </w:r>
      <w:r w:rsidR="009A5F36">
        <w:rPr>
          <w:rFonts w:ascii="Arial" w:hAnsi="Arial" w:cs="Arial"/>
        </w:rPr>
        <w:t>3</w:t>
      </w:r>
      <w:r>
        <w:rPr>
          <w:rFonts w:ascii="Arial" w:hAnsi="Arial" w:cs="Arial"/>
        </w:rPr>
        <w:t>: Rate of pedal cycle KSIs per 100 million KMs cycled, with associated 95% Confidence Range (5 year rolling average).</w:t>
      </w:r>
    </w:p>
    <w:p w:rsidR="002432FA" w:rsidRPr="009A5F36" w:rsidRDefault="00A56E68" w:rsidP="00004633">
      <w:pPr>
        <w:spacing w:line="360" w:lineRule="auto"/>
        <w:rPr>
          <w:rFonts w:ascii="Arial" w:hAnsi="Arial" w:cs="Arial"/>
        </w:rPr>
      </w:pPr>
      <w:r w:rsidRPr="00A56E68">
        <w:rPr>
          <w:rFonts w:ascii="Arial" w:hAnsi="Arial" w:cs="Arial"/>
          <w:noProof/>
          <w:lang w:eastAsia="en-GB"/>
        </w:rPr>
        <w:drawing>
          <wp:inline distT="0" distB="0" distL="0" distR="0">
            <wp:extent cx="5731510" cy="2624493"/>
            <wp:effectExtent l="19050" t="0" r="21590" b="4407"/>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5F36" w:rsidRDefault="009A5F36" w:rsidP="00004633">
      <w:pPr>
        <w:spacing w:line="360" w:lineRule="auto"/>
        <w:rPr>
          <w:rFonts w:ascii="Arial" w:hAnsi="Arial" w:cs="Arial"/>
        </w:rPr>
      </w:pPr>
      <w:r w:rsidRPr="001D552C">
        <w:rPr>
          <w:rFonts w:ascii="Arial" w:hAnsi="Arial" w:cs="Arial"/>
        </w:rPr>
        <w:t>Because the NI Travel Survey is not fit-for-purpose for the pedal cycle KPI</w:t>
      </w:r>
      <w:r w:rsidR="001D552C">
        <w:rPr>
          <w:rFonts w:ascii="Arial" w:hAnsi="Arial" w:cs="Arial"/>
        </w:rPr>
        <w:t xml:space="preserve"> </w:t>
      </w:r>
      <w:r w:rsidR="001D552C" w:rsidRPr="001D552C">
        <w:rPr>
          <w:rFonts w:ascii="Arial" w:hAnsi="Arial" w:cs="Arial"/>
        </w:rPr>
        <w:t>(due to the small numbers of cyclists in the sample)</w:t>
      </w:r>
      <w:r w:rsidRPr="001D552C">
        <w:rPr>
          <w:rFonts w:ascii="Arial" w:hAnsi="Arial" w:cs="Arial"/>
        </w:rPr>
        <w:t>, a change to this indicator is recommended. Specifically, it is proposed that instead of reporting t</w:t>
      </w:r>
      <w:r w:rsidR="00824C69" w:rsidRPr="001D552C">
        <w:rPr>
          <w:rFonts w:ascii="Arial" w:hAnsi="Arial" w:cs="Arial"/>
        </w:rPr>
        <w:t>he rate of KSIs per 100 million</w:t>
      </w:r>
      <w:r w:rsidRPr="001D552C">
        <w:rPr>
          <w:rFonts w:ascii="Arial" w:hAnsi="Arial" w:cs="Arial"/>
        </w:rPr>
        <w:t xml:space="preserve"> KMs</w:t>
      </w:r>
      <w:r w:rsidR="00EF30BB" w:rsidRPr="001D552C">
        <w:rPr>
          <w:rFonts w:ascii="Arial" w:hAnsi="Arial" w:cs="Arial"/>
        </w:rPr>
        <w:t xml:space="preserve"> cycled</w:t>
      </w:r>
      <w:r w:rsidRPr="001D552C">
        <w:rPr>
          <w:rFonts w:ascii="Arial" w:hAnsi="Arial" w:cs="Arial"/>
        </w:rPr>
        <w:t xml:space="preserve">, a </w:t>
      </w:r>
      <w:r w:rsidRPr="001D552C">
        <w:rPr>
          <w:rFonts w:ascii="Arial" w:hAnsi="Arial" w:cs="Arial"/>
          <w:b/>
        </w:rPr>
        <w:t>rate of pedal cycl</w:t>
      </w:r>
      <w:r w:rsidR="00EF30BB" w:rsidRPr="001D552C">
        <w:rPr>
          <w:rFonts w:ascii="Arial" w:hAnsi="Arial" w:cs="Arial"/>
          <w:b/>
        </w:rPr>
        <w:t>ist</w:t>
      </w:r>
      <w:r w:rsidRPr="001D552C">
        <w:rPr>
          <w:rFonts w:ascii="Arial" w:hAnsi="Arial" w:cs="Arial"/>
          <w:b/>
        </w:rPr>
        <w:t xml:space="preserve"> KSIs per 100,000 people that have cycled in the last 12 months </w:t>
      </w:r>
      <w:r w:rsidRPr="001D552C">
        <w:rPr>
          <w:rFonts w:ascii="Arial" w:hAnsi="Arial" w:cs="Arial"/>
        </w:rPr>
        <w:t xml:space="preserve">is published. The data used to create this rate does </w:t>
      </w:r>
      <w:r w:rsidR="005101F2" w:rsidRPr="001D552C">
        <w:rPr>
          <w:rFonts w:ascii="Arial" w:hAnsi="Arial" w:cs="Arial"/>
        </w:rPr>
        <w:t xml:space="preserve">still </w:t>
      </w:r>
      <w:r w:rsidRPr="001D552C">
        <w:rPr>
          <w:rFonts w:ascii="Arial" w:hAnsi="Arial" w:cs="Arial"/>
        </w:rPr>
        <w:t xml:space="preserve">come from a sample survey, but the associated sampling errors are much smaller than for kilometres travelled. Figure 4 below </w:t>
      </w:r>
      <w:r>
        <w:rPr>
          <w:rFonts w:ascii="Arial" w:hAnsi="Arial" w:cs="Arial"/>
        </w:rPr>
        <w:lastRenderedPageBreak/>
        <w:t xml:space="preserve">plots the trend. </w:t>
      </w:r>
      <w:r w:rsidRPr="00F00D2C">
        <w:rPr>
          <w:rFonts w:ascii="Arial" w:hAnsi="Arial" w:cs="Arial"/>
        </w:rPr>
        <w:t xml:space="preserve">The rate in </w:t>
      </w:r>
      <w:r w:rsidR="00F00D2C" w:rsidRPr="00F00D2C">
        <w:rPr>
          <w:rFonts w:ascii="Arial" w:hAnsi="Arial" w:cs="Arial"/>
        </w:rPr>
        <w:t>2015</w:t>
      </w:r>
      <w:r w:rsidRPr="00F00D2C">
        <w:rPr>
          <w:rFonts w:ascii="Arial" w:hAnsi="Arial" w:cs="Arial"/>
        </w:rPr>
        <w:t xml:space="preserve"> was </w:t>
      </w:r>
      <w:r w:rsidR="00AA504B">
        <w:rPr>
          <w:rFonts w:ascii="Arial" w:hAnsi="Arial" w:cs="Arial"/>
        </w:rPr>
        <w:t>32</w:t>
      </w:r>
      <w:r w:rsidRPr="00F00D2C">
        <w:rPr>
          <w:rFonts w:ascii="Arial" w:hAnsi="Arial" w:cs="Arial"/>
        </w:rPr>
        <w:t xml:space="preserve">% </w:t>
      </w:r>
      <w:r w:rsidR="00F00D2C" w:rsidRPr="00F00D2C">
        <w:rPr>
          <w:rFonts w:ascii="Arial" w:hAnsi="Arial" w:cs="Arial"/>
        </w:rPr>
        <w:t>above</w:t>
      </w:r>
      <w:r w:rsidR="00F00D2C">
        <w:rPr>
          <w:rFonts w:ascii="Arial" w:hAnsi="Arial" w:cs="Arial"/>
        </w:rPr>
        <w:t xml:space="preserve"> the 2004-2008 baseline</w:t>
      </w:r>
      <w:r w:rsidRPr="00F00D2C">
        <w:rPr>
          <w:rFonts w:ascii="Arial" w:hAnsi="Arial" w:cs="Arial"/>
        </w:rPr>
        <w:t xml:space="preserve"> </w:t>
      </w:r>
      <w:r w:rsidR="005101F2" w:rsidRPr="00F00D2C">
        <w:rPr>
          <w:rFonts w:ascii="Arial" w:hAnsi="Arial" w:cs="Arial"/>
        </w:rPr>
        <w:t>providing a clear indication that cycling KSIs are increasing</w:t>
      </w:r>
      <w:r w:rsidRPr="00F00D2C">
        <w:rPr>
          <w:rFonts w:ascii="Arial" w:hAnsi="Arial" w:cs="Arial"/>
        </w:rPr>
        <w:t>.</w:t>
      </w:r>
    </w:p>
    <w:p w:rsidR="009A5F36" w:rsidRPr="00D01BD7" w:rsidRDefault="00D01BD7" w:rsidP="00004633">
      <w:pPr>
        <w:spacing w:line="360" w:lineRule="auto"/>
        <w:rPr>
          <w:rFonts w:ascii="Arial" w:hAnsi="Arial" w:cs="Arial"/>
        </w:rPr>
      </w:pPr>
      <w:r w:rsidRPr="00D01BD7">
        <w:rPr>
          <w:rFonts w:ascii="Arial" w:hAnsi="Arial" w:cs="Arial"/>
        </w:rPr>
        <w:t>Figure 4: Rate of pedal cycle KSIs per 100,000 people that have cycled in the last 12 months</w:t>
      </w:r>
      <w:r>
        <w:rPr>
          <w:rFonts w:ascii="Arial" w:hAnsi="Arial" w:cs="Arial"/>
        </w:rPr>
        <w:t xml:space="preserve">, with </w:t>
      </w:r>
      <w:r w:rsidR="00EF30BB">
        <w:rPr>
          <w:rFonts w:ascii="Arial" w:hAnsi="Arial" w:cs="Arial"/>
        </w:rPr>
        <w:t>associated 95% Confidence Range</w:t>
      </w:r>
      <w:r w:rsidR="001D552C">
        <w:rPr>
          <w:rFonts w:ascii="Arial" w:hAnsi="Arial" w:cs="Arial"/>
        </w:rPr>
        <w:t>, 2006-201</w:t>
      </w:r>
      <w:r w:rsidR="008F56E3">
        <w:rPr>
          <w:rFonts w:ascii="Arial" w:hAnsi="Arial" w:cs="Arial"/>
        </w:rPr>
        <w:t>5</w:t>
      </w:r>
    </w:p>
    <w:p w:rsidR="002432FA" w:rsidRPr="00F00D2C" w:rsidRDefault="00AA504B" w:rsidP="00004633">
      <w:pPr>
        <w:spacing w:line="360" w:lineRule="auto"/>
        <w:rPr>
          <w:rFonts w:ascii="Arial" w:hAnsi="Arial" w:cs="Arial"/>
        </w:rPr>
      </w:pPr>
      <w:r w:rsidRPr="00AA504B">
        <w:rPr>
          <w:rFonts w:ascii="Arial" w:hAnsi="Arial" w:cs="Arial"/>
          <w:noProof/>
          <w:lang w:eastAsia="en-GB"/>
        </w:rPr>
        <w:drawing>
          <wp:inline distT="0" distB="0" distL="0" distR="0">
            <wp:extent cx="5819775" cy="2743200"/>
            <wp:effectExtent l="19050" t="0" r="9525"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0D2C" w:rsidRDefault="00F00D2C" w:rsidP="009A5F36">
      <w:pPr>
        <w:spacing w:line="360" w:lineRule="auto"/>
        <w:rPr>
          <w:rFonts w:ascii="Arial" w:hAnsi="Arial" w:cs="Arial"/>
          <w:u w:val="single"/>
        </w:rPr>
      </w:pPr>
    </w:p>
    <w:p w:rsidR="009A5F36" w:rsidRDefault="009A5F36" w:rsidP="009A5F36">
      <w:pPr>
        <w:spacing w:line="360" w:lineRule="auto"/>
        <w:rPr>
          <w:rFonts w:ascii="Arial" w:hAnsi="Arial" w:cs="Arial"/>
          <w:u w:val="single"/>
        </w:rPr>
      </w:pPr>
      <w:r w:rsidRPr="009817EA">
        <w:rPr>
          <w:rFonts w:ascii="Arial" w:hAnsi="Arial" w:cs="Arial"/>
          <w:u w:val="single"/>
        </w:rPr>
        <w:t>Limitations to the new data</w:t>
      </w:r>
    </w:p>
    <w:p w:rsidR="009A5F36" w:rsidRDefault="009A5F36" w:rsidP="009A5F36">
      <w:pPr>
        <w:spacing w:line="360" w:lineRule="auto"/>
        <w:rPr>
          <w:rFonts w:ascii="Arial" w:hAnsi="Arial" w:cs="Arial"/>
          <w:b/>
          <w:u w:val="single"/>
        </w:rPr>
      </w:pPr>
      <w:r>
        <w:rPr>
          <w:rFonts w:ascii="Arial" w:hAnsi="Arial" w:cs="Arial"/>
        </w:rPr>
        <w:t>While the sampling errors present for the proposed new data source</w:t>
      </w:r>
      <w:r w:rsidR="00674A71">
        <w:rPr>
          <w:rFonts w:ascii="Arial" w:hAnsi="Arial" w:cs="Arial"/>
        </w:rPr>
        <w:t xml:space="preserve"> are narrow enough to</w:t>
      </w:r>
      <w:r>
        <w:rPr>
          <w:rFonts w:ascii="Arial" w:hAnsi="Arial" w:cs="Arial"/>
        </w:rPr>
        <w:t xml:space="preserve"> allow </w:t>
      </w:r>
      <w:r w:rsidR="00EE7953">
        <w:rPr>
          <w:rFonts w:ascii="Arial" w:hAnsi="Arial" w:cs="Arial"/>
        </w:rPr>
        <w:t>conclusions to be drawn</w:t>
      </w:r>
      <w:r>
        <w:rPr>
          <w:rFonts w:ascii="Arial" w:hAnsi="Arial" w:cs="Arial"/>
        </w:rPr>
        <w:t xml:space="preserve">, there are still limitations to the data which are unquantifiable. It does not take in to account how far each </w:t>
      </w:r>
      <w:r w:rsidR="00EE7953">
        <w:rPr>
          <w:rFonts w:ascii="Arial" w:hAnsi="Arial" w:cs="Arial"/>
        </w:rPr>
        <w:t>person</w:t>
      </w:r>
      <w:r w:rsidRPr="00C4534E">
        <w:rPr>
          <w:rFonts w:ascii="Arial" w:hAnsi="Arial" w:cs="Arial"/>
        </w:rPr>
        <w:t xml:space="preserve"> will travel</w:t>
      </w:r>
      <w:r w:rsidR="00EE7953">
        <w:rPr>
          <w:rFonts w:ascii="Arial" w:hAnsi="Arial" w:cs="Arial"/>
        </w:rPr>
        <w:t xml:space="preserve"> by bicycle</w:t>
      </w:r>
      <w:r w:rsidRPr="00C4534E">
        <w:rPr>
          <w:rFonts w:ascii="Arial" w:hAnsi="Arial" w:cs="Arial"/>
        </w:rPr>
        <w:t>, and an assumption is therefore inherent that all will travel the same distance. However, this is less of a limitation when examining trends</w:t>
      </w:r>
      <w:r>
        <w:rPr>
          <w:rFonts w:ascii="Arial" w:hAnsi="Arial" w:cs="Arial"/>
        </w:rPr>
        <w:t>,</w:t>
      </w:r>
      <w:r w:rsidRPr="00C4534E">
        <w:rPr>
          <w:rFonts w:ascii="Arial" w:hAnsi="Arial" w:cs="Arial"/>
        </w:rPr>
        <w:t xml:space="preserve"> assuming any potential uncertainty remains reasonably constant over time</w:t>
      </w:r>
      <w:r>
        <w:rPr>
          <w:rFonts w:ascii="Arial" w:hAnsi="Arial" w:cs="Arial"/>
        </w:rPr>
        <w:t xml:space="preserve">, and in the absence of usable kilometres travelled data, it is the next best estimator of </w:t>
      </w:r>
      <w:r w:rsidR="00EE7953">
        <w:rPr>
          <w:rFonts w:ascii="Arial" w:hAnsi="Arial" w:cs="Arial"/>
        </w:rPr>
        <w:t xml:space="preserve">cyclist </w:t>
      </w:r>
      <w:r>
        <w:rPr>
          <w:rFonts w:ascii="Arial" w:hAnsi="Arial" w:cs="Arial"/>
        </w:rPr>
        <w:t>casualty risk exposure.</w:t>
      </w:r>
    </w:p>
    <w:p w:rsidR="00EE7953" w:rsidRDefault="00EE7953" w:rsidP="00004633">
      <w:pPr>
        <w:spacing w:line="360" w:lineRule="auto"/>
        <w:rPr>
          <w:rFonts w:ascii="Arial" w:hAnsi="Arial" w:cs="Arial"/>
          <w:b/>
          <w:u w:val="single"/>
        </w:rPr>
      </w:pPr>
    </w:p>
    <w:p w:rsidR="00896F46" w:rsidRPr="00A57082" w:rsidRDefault="00896F46" w:rsidP="00004633">
      <w:pPr>
        <w:spacing w:line="360" w:lineRule="auto"/>
        <w:rPr>
          <w:rFonts w:ascii="Arial" w:hAnsi="Arial" w:cs="Arial"/>
          <w:b/>
          <w:u w:val="single"/>
        </w:rPr>
      </w:pPr>
      <w:bookmarkStart w:id="5" w:name="RequiredChange"/>
      <w:r w:rsidRPr="00A57082">
        <w:rPr>
          <w:rFonts w:ascii="Arial" w:hAnsi="Arial" w:cs="Arial"/>
          <w:b/>
          <w:u w:val="single"/>
        </w:rPr>
        <w:t>Required change</w:t>
      </w:r>
      <w:r w:rsidR="00A57082">
        <w:rPr>
          <w:rFonts w:ascii="Arial" w:hAnsi="Arial" w:cs="Arial"/>
          <w:b/>
          <w:u w:val="single"/>
        </w:rPr>
        <w:t>s</w:t>
      </w:r>
      <w:r w:rsidRPr="00A57082">
        <w:rPr>
          <w:rFonts w:ascii="Arial" w:hAnsi="Arial" w:cs="Arial"/>
          <w:b/>
          <w:u w:val="single"/>
        </w:rPr>
        <w:t xml:space="preserve"> to the Publication</w:t>
      </w:r>
      <w:bookmarkEnd w:id="5"/>
    </w:p>
    <w:p w:rsidR="00D873C9" w:rsidRDefault="00896F46" w:rsidP="00004633">
      <w:pPr>
        <w:spacing w:line="360" w:lineRule="auto"/>
        <w:rPr>
          <w:rFonts w:ascii="Arial" w:hAnsi="Arial" w:cs="Arial"/>
        </w:rPr>
      </w:pPr>
      <w:r>
        <w:rPr>
          <w:rFonts w:ascii="Arial" w:hAnsi="Arial" w:cs="Arial"/>
        </w:rPr>
        <w:t>A required</w:t>
      </w:r>
      <w:r w:rsidRPr="00C549CA">
        <w:rPr>
          <w:rFonts w:ascii="Arial" w:hAnsi="Arial" w:cs="Arial"/>
        </w:rPr>
        <w:t xml:space="preserve"> change to the </w:t>
      </w:r>
      <w:r>
        <w:rPr>
          <w:rFonts w:ascii="Arial" w:hAnsi="Arial" w:cs="Arial"/>
        </w:rPr>
        <w:t xml:space="preserve">‘Northern </w:t>
      </w:r>
      <w:r w:rsidRPr="00004633">
        <w:rPr>
          <w:rFonts w:ascii="Arial" w:hAnsi="Arial" w:cs="Arial"/>
          <w:bCs/>
        </w:rPr>
        <w:t>Ireland Road Safety Strategy to 2020 Annual Statistical Report’</w:t>
      </w:r>
      <w:r w:rsidR="00667711">
        <w:rPr>
          <w:rFonts w:ascii="Arial" w:hAnsi="Arial" w:cs="Arial"/>
          <w:bCs/>
        </w:rPr>
        <w:t xml:space="preserve"> </w:t>
      </w:r>
      <w:r w:rsidR="00667711">
        <w:rPr>
          <w:rFonts w:ascii="Arial" w:hAnsi="Arial" w:cs="Arial"/>
        </w:rPr>
        <w:t>has been identified</w:t>
      </w:r>
      <w:r>
        <w:rPr>
          <w:rFonts w:ascii="Arial" w:hAnsi="Arial" w:cs="Arial"/>
          <w:bCs/>
        </w:rPr>
        <w:t>,</w:t>
      </w:r>
      <w:r w:rsidRPr="00C549CA">
        <w:rPr>
          <w:rFonts w:ascii="Arial" w:hAnsi="Arial" w:cs="Arial"/>
        </w:rPr>
        <w:t xml:space="preserve"> specifically regarding </w:t>
      </w:r>
      <w:r>
        <w:rPr>
          <w:rFonts w:ascii="Arial" w:hAnsi="Arial" w:cs="Arial"/>
        </w:rPr>
        <w:t>the following three KPIs:</w:t>
      </w:r>
    </w:p>
    <w:p w:rsidR="00896F46" w:rsidRPr="00A57082" w:rsidRDefault="00896F46" w:rsidP="00896F46">
      <w:pPr>
        <w:pStyle w:val="ListParagraph"/>
        <w:numPr>
          <w:ilvl w:val="0"/>
          <w:numId w:val="2"/>
        </w:numPr>
        <w:spacing w:line="360" w:lineRule="auto"/>
        <w:rPr>
          <w:rFonts w:ascii="Arial" w:hAnsi="Arial" w:cs="Arial"/>
          <w:b/>
        </w:rPr>
      </w:pPr>
      <w:r w:rsidRPr="00A57082">
        <w:rPr>
          <w:rFonts w:ascii="Arial" w:hAnsi="Arial" w:cs="Arial"/>
          <w:b/>
        </w:rPr>
        <w:t>KPI1: Rate of road deaths per 100 million vehicle kilometres</w:t>
      </w:r>
    </w:p>
    <w:p w:rsidR="00896F46" w:rsidRPr="00A57082" w:rsidRDefault="00896F46" w:rsidP="00896F46">
      <w:pPr>
        <w:pStyle w:val="ListParagraph"/>
        <w:numPr>
          <w:ilvl w:val="0"/>
          <w:numId w:val="2"/>
        </w:numPr>
        <w:spacing w:line="360" w:lineRule="auto"/>
        <w:rPr>
          <w:rFonts w:ascii="Arial" w:hAnsi="Arial" w:cs="Arial"/>
          <w:b/>
        </w:rPr>
      </w:pPr>
      <w:r w:rsidRPr="00A57082">
        <w:rPr>
          <w:rFonts w:ascii="Arial" w:hAnsi="Arial" w:cs="Arial"/>
          <w:b/>
        </w:rPr>
        <w:t>KPI6: Rate of car users KSIs per 100 million kilometres (cars and vans)</w:t>
      </w:r>
    </w:p>
    <w:p w:rsidR="00896F46" w:rsidRPr="00896F46" w:rsidRDefault="00667711" w:rsidP="00896F46">
      <w:pPr>
        <w:pStyle w:val="ListParagraph"/>
        <w:numPr>
          <w:ilvl w:val="0"/>
          <w:numId w:val="2"/>
        </w:numPr>
        <w:spacing w:line="360" w:lineRule="auto"/>
        <w:rPr>
          <w:rFonts w:ascii="Arial" w:hAnsi="Arial" w:cs="Arial"/>
        </w:rPr>
      </w:pPr>
      <w:r w:rsidRPr="00A57082">
        <w:rPr>
          <w:rFonts w:ascii="Arial" w:hAnsi="Arial" w:cs="Arial"/>
          <w:b/>
        </w:rPr>
        <w:t>KPI7: Rate of fatal and serious collisions per 100 million vehicle kilometres</w:t>
      </w:r>
    </w:p>
    <w:p w:rsidR="003078D1" w:rsidRPr="008F56E3" w:rsidRDefault="00667711" w:rsidP="00004633">
      <w:pPr>
        <w:spacing w:line="360" w:lineRule="auto"/>
        <w:rPr>
          <w:rFonts w:ascii="Arial" w:hAnsi="Arial" w:cs="Arial"/>
          <w:sz w:val="23"/>
          <w:szCs w:val="23"/>
        </w:rPr>
      </w:pPr>
      <w:r w:rsidRPr="008F56E3">
        <w:rPr>
          <w:rFonts w:ascii="Arial" w:hAnsi="Arial" w:cs="Arial"/>
          <w:sz w:val="23"/>
          <w:szCs w:val="23"/>
        </w:rPr>
        <w:lastRenderedPageBreak/>
        <w:t xml:space="preserve">One of the primary sources of data for these indicators is the Vehicle Kilometres Travelled (VKT). </w:t>
      </w:r>
      <w:r w:rsidR="0041356A" w:rsidRPr="008F56E3">
        <w:rPr>
          <w:rFonts w:ascii="Arial" w:hAnsi="Arial" w:cs="Arial"/>
          <w:sz w:val="23"/>
          <w:szCs w:val="23"/>
        </w:rPr>
        <w:t xml:space="preserve">The last available year of data for the VKT is 2014; </w:t>
      </w:r>
      <w:r w:rsidR="00E76554" w:rsidRPr="008F56E3">
        <w:rPr>
          <w:rFonts w:ascii="Arial" w:hAnsi="Arial" w:cs="Arial"/>
          <w:sz w:val="23"/>
          <w:szCs w:val="23"/>
        </w:rPr>
        <w:t>due to</w:t>
      </w:r>
      <w:r w:rsidR="00DE7987" w:rsidRPr="008F56E3">
        <w:rPr>
          <w:rFonts w:ascii="Arial" w:hAnsi="Arial" w:cs="Arial"/>
          <w:sz w:val="23"/>
          <w:szCs w:val="23"/>
        </w:rPr>
        <w:t xml:space="preserve"> </w:t>
      </w:r>
      <w:r w:rsidR="004E138D" w:rsidRPr="008F56E3">
        <w:rPr>
          <w:rFonts w:ascii="Arial" w:hAnsi="Arial" w:cs="Arial"/>
          <w:sz w:val="23"/>
          <w:szCs w:val="23"/>
        </w:rPr>
        <w:t>budget constraints</w:t>
      </w:r>
      <w:r w:rsidR="00E76554" w:rsidRPr="008F56E3">
        <w:rPr>
          <w:rFonts w:ascii="Arial" w:hAnsi="Arial" w:cs="Arial"/>
          <w:sz w:val="23"/>
          <w:szCs w:val="23"/>
        </w:rPr>
        <w:t xml:space="preserve"> </w:t>
      </w:r>
      <w:bookmarkStart w:id="6" w:name="_GoBack"/>
      <w:r w:rsidR="004E138D" w:rsidRPr="008F56E3">
        <w:rPr>
          <w:rFonts w:ascii="Arial" w:hAnsi="Arial" w:cs="Arial"/>
          <w:sz w:val="23"/>
          <w:szCs w:val="23"/>
        </w:rPr>
        <w:t>the survey is no longer being carried out</w:t>
      </w:r>
      <w:bookmarkEnd w:id="6"/>
      <w:r w:rsidR="0041356A" w:rsidRPr="008F56E3">
        <w:rPr>
          <w:rFonts w:ascii="Arial" w:hAnsi="Arial" w:cs="Arial"/>
          <w:sz w:val="23"/>
          <w:szCs w:val="23"/>
        </w:rPr>
        <w:t>. Therefore, an alternative source of data is required to enable continued reporting – the Travel Survey for Northern Ireland (TSNI) is proposed.</w:t>
      </w:r>
    </w:p>
    <w:p w:rsidR="0041356A" w:rsidRPr="00BC6D4D" w:rsidRDefault="0041356A" w:rsidP="00004633">
      <w:pPr>
        <w:spacing w:line="360" w:lineRule="auto"/>
        <w:rPr>
          <w:rFonts w:ascii="Arial" w:hAnsi="Arial" w:cs="Arial"/>
          <w:b/>
          <w:sz w:val="23"/>
          <w:szCs w:val="23"/>
        </w:rPr>
      </w:pPr>
      <w:r>
        <w:rPr>
          <w:rFonts w:ascii="Arial" w:hAnsi="Arial" w:cs="Arial"/>
          <w:sz w:val="23"/>
          <w:szCs w:val="23"/>
        </w:rPr>
        <w:t xml:space="preserve">ASRB has carried out extensive analysis to determine whether estimates produced using the </w:t>
      </w:r>
      <w:r w:rsidR="00BC6D4D">
        <w:rPr>
          <w:rFonts w:ascii="Arial" w:hAnsi="Arial" w:cs="Arial"/>
          <w:sz w:val="23"/>
          <w:szCs w:val="23"/>
        </w:rPr>
        <w:t>new data source</w:t>
      </w:r>
      <w:r>
        <w:rPr>
          <w:rFonts w:ascii="Arial" w:hAnsi="Arial" w:cs="Arial"/>
          <w:sz w:val="23"/>
          <w:szCs w:val="23"/>
        </w:rPr>
        <w:t xml:space="preserve"> are robust. Figure </w:t>
      </w:r>
      <w:r w:rsidR="002F5627">
        <w:rPr>
          <w:rFonts w:ascii="Arial" w:hAnsi="Arial" w:cs="Arial"/>
          <w:sz w:val="23"/>
          <w:szCs w:val="23"/>
        </w:rPr>
        <w:t>5</w:t>
      </w:r>
      <w:r>
        <w:rPr>
          <w:rFonts w:ascii="Arial" w:hAnsi="Arial" w:cs="Arial"/>
          <w:sz w:val="23"/>
          <w:szCs w:val="23"/>
        </w:rPr>
        <w:t xml:space="preserve"> below shows the rate of road deaths per 100 million vehicle kilometres using both data sources.</w:t>
      </w:r>
      <w:r w:rsidR="00BC6D4D">
        <w:rPr>
          <w:rFonts w:ascii="Arial" w:hAnsi="Arial" w:cs="Arial"/>
          <w:sz w:val="23"/>
          <w:szCs w:val="23"/>
        </w:rPr>
        <w:t xml:space="preserve"> </w:t>
      </w:r>
      <w:r w:rsidR="00BC6D4D">
        <w:rPr>
          <w:rFonts w:ascii="Arial" w:eastAsia="Times New Roman" w:hAnsi="Arial" w:cs="Arial"/>
          <w:bCs/>
          <w:lang w:eastAsia="en-GB"/>
        </w:rPr>
        <w:t xml:space="preserve">While the VKT </w:t>
      </w:r>
      <w:r w:rsidR="00E76554">
        <w:rPr>
          <w:rFonts w:ascii="Arial" w:eastAsia="Times New Roman" w:hAnsi="Arial" w:cs="Arial"/>
          <w:bCs/>
          <w:lang w:eastAsia="en-GB"/>
        </w:rPr>
        <w:t xml:space="preserve">was originally </w:t>
      </w:r>
      <w:r w:rsidR="00BC6D4D">
        <w:rPr>
          <w:rFonts w:ascii="Arial" w:eastAsia="Times New Roman" w:hAnsi="Arial" w:cs="Arial"/>
          <w:bCs/>
          <w:lang w:eastAsia="en-GB"/>
        </w:rPr>
        <w:t xml:space="preserve">considered more </w:t>
      </w:r>
      <w:r w:rsidR="00E76554">
        <w:rPr>
          <w:rFonts w:ascii="Arial" w:eastAsia="Times New Roman" w:hAnsi="Arial" w:cs="Arial"/>
          <w:bCs/>
          <w:lang w:eastAsia="en-GB"/>
        </w:rPr>
        <w:t xml:space="preserve">appropriate for </w:t>
      </w:r>
      <w:r w:rsidR="008C6E0C">
        <w:rPr>
          <w:rFonts w:ascii="Arial" w:eastAsia="Times New Roman" w:hAnsi="Arial" w:cs="Arial"/>
          <w:bCs/>
          <w:lang w:eastAsia="en-GB"/>
        </w:rPr>
        <w:t>use</w:t>
      </w:r>
      <w:r w:rsidR="005226F9">
        <w:rPr>
          <w:rFonts w:ascii="Arial" w:eastAsia="Times New Roman" w:hAnsi="Arial" w:cs="Arial"/>
          <w:bCs/>
          <w:lang w:eastAsia="en-GB"/>
        </w:rPr>
        <w:t xml:space="preserve"> due to single year data and larger sample size</w:t>
      </w:r>
      <w:r w:rsidR="00E76554">
        <w:rPr>
          <w:rFonts w:ascii="Arial" w:eastAsia="Times New Roman" w:hAnsi="Arial" w:cs="Arial"/>
          <w:bCs/>
          <w:lang w:eastAsia="en-GB"/>
        </w:rPr>
        <w:t xml:space="preserve">, </w:t>
      </w:r>
      <w:r w:rsidR="00BC6D4D">
        <w:rPr>
          <w:rFonts w:ascii="Arial" w:eastAsia="Times New Roman" w:hAnsi="Arial" w:cs="Arial"/>
          <w:bCs/>
          <w:lang w:eastAsia="en-GB"/>
        </w:rPr>
        <w:t xml:space="preserve">the TSNI is the next best estimate, and the fact that the two trend lines track each other so consistently is </w:t>
      </w:r>
      <w:r w:rsidR="005226F9">
        <w:rPr>
          <w:rFonts w:ascii="Arial" w:eastAsia="Times New Roman" w:hAnsi="Arial" w:cs="Arial"/>
          <w:bCs/>
          <w:lang w:eastAsia="en-GB"/>
        </w:rPr>
        <w:t xml:space="preserve">an </w:t>
      </w:r>
      <w:r w:rsidR="00BC6D4D">
        <w:rPr>
          <w:rFonts w:ascii="Arial" w:eastAsia="Times New Roman" w:hAnsi="Arial" w:cs="Arial"/>
          <w:bCs/>
          <w:lang w:eastAsia="en-GB"/>
        </w:rPr>
        <w:t>indication that the TSNI will be sufficient</w:t>
      </w:r>
      <w:r w:rsidR="008C6E0C">
        <w:rPr>
          <w:rFonts w:ascii="Arial" w:eastAsia="Times New Roman" w:hAnsi="Arial" w:cs="Arial"/>
          <w:bCs/>
          <w:lang w:eastAsia="en-GB"/>
        </w:rPr>
        <w:t xml:space="preserve"> for our reporting needs</w:t>
      </w:r>
      <w:r w:rsidR="00A57082">
        <w:rPr>
          <w:rFonts w:ascii="Arial" w:eastAsia="Times New Roman" w:hAnsi="Arial" w:cs="Arial"/>
          <w:bCs/>
          <w:lang w:eastAsia="en-GB"/>
        </w:rPr>
        <w:t>. ASRB are content to proceed on this basis.</w:t>
      </w:r>
    </w:p>
    <w:p w:rsidR="0041356A" w:rsidRDefault="0041356A" w:rsidP="0041356A">
      <w:pPr>
        <w:rPr>
          <w:rFonts w:ascii="Arial" w:eastAsia="Times New Roman" w:hAnsi="Arial" w:cs="Arial"/>
          <w:bCs/>
          <w:lang w:eastAsia="en-GB"/>
        </w:rPr>
      </w:pPr>
      <w:r>
        <w:rPr>
          <w:rFonts w:ascii="Arial" w:hAnsi="Arial" w:cs="Arial"/>
          <w:sz w:val="23"/>
          <w:szCs w:val="23"/>
        </w:rPr>
        <w:t xml:space="preserve">Figure </w:t>
      </w:r>
      <w:r w:rsidR="002F5627">
        <w:rPr>
          <w:rFonts w:ascii="Arial" w:hAnsi="Arial" w:cs="Arial"/>
          <w:sz w:val="23"/>
          <w:szCs w:val="23"/>
        </w:rPr>
        <w:t>5</w:t>
      </w:r>
      <w:r>
        <w:rPr>
          <w:rFonts w:ascii="Arial" w:hAnsi="Arial" w:cs="Arial"/>
          <w:sz w:val="23"/>
          <w:szCs w:val="23"/>
        </w:rPr>
        <w:t xml:space="preserve">: </w:t>
      </w:r>
      <w:r w:rsidRPr="0041356A">
        <w:rPr>
          <w:rFonts w:ascii="Arial" w:eastAsia="Times New Roman" w:hAnsi="Arial" w:cs="Arial"/>
          <w:bCs/>
          <w:lang w:eastAsia="en-GB"/>
        </w:rPr>
        <w:t>Rate of road deaths per 100 million vehicle kilometres, 2004-201</w:t>
      </w:r>
      <w:r>
        <w:rPr>
          <w:rFonts w:ascii="Arial" w:eastAsia="Times New Roman" w:hAnsi="Arial" w:cs="Arial"/>
          <w:bCs/>
          <w:lang w:eastAsia="en-GB"/>
        </w:rPr>
        <w:t>5</w:t>
      </w:r>
    </w:p>
    <w:p w:rsidR="0041356A" w:rsidRDefault="0041356A" w:rsidP="0041356A">
      <w:pPr>
        <w:rPr>
          <w:rFonts w:ascii="Arial" w:eastAsia="Times New Roman" w:hAnsi="Arial" w:cs="Arial"/>
          <w:b/>
          <w:bCs/>
          <w:lang w:eastAsia="en-GB"/>
        </w:rPr>
      </w:pPr>
      <w:r w:rsidRPr="0041356A">
        <w:rPr>
          <w:rFonts w:ascii="Arial" w:eastAsia="Times New Roman" w:hAnsi="Arial" w:cs="Arial"/>
          <w:b/>
          <w:bCs/>
          <w:noProof/>
          <w:lang w:eastAsia="en-GB"/>
        </w:rPr>
        <w:drawing>
          <wp:inline distT="0" distB="0" distL="0" distR="0">
            <wp:extent cx="5674659" cy="3650315"/>
            <wp:effectExtent l="0" t="0" r="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C6D4D" w:rsidRDefault="00BC6D4D" w:rsidP="00BC6D4D">
      <w:pPr>
        <w:rPr>
          <w:rFonts w:ascii="Arial" w:hAnsi="Arial" w:cs="Arial"/>
          <w:b/>
        </w:rPr>
      </w:pPr>
      <w:bookmarkStart w:id="7" w:name="InvitationtoRespond"/>
      <w:r w:rsidRPr="00C549CA">
        <w:rPr>
          <w:rFonts w:ascii="Arial" w:hAnsi="Arial" w:cs="Arial"/>
          <w:b/>
        </w:rPr>
        <w:t>Invitation to Respond</w:t>
      </w:r>
      <w:bookmarkEnd w:id="7"/>
    </w:p>
    <w:p w:rsidR="00BC6D4D" w:rsidRDefault="00BC6D4D" w:rsidP="00BC6D4D">
      <w:pPr>
        <w:autoSpaceDE w:val="0"/>
        <w:autoSpaceDN w:val="0"/>
        <w:adjustRightInd w:val="0"/>
        <w:spacing w:after="0" w:line="360" w:lineRule="auto"/>
        <w:jc w:val="both"/>
        <w:rPr>
          <w:rFonts w:ascii="Arial" w:hAnsi="Arial" w:cs="Arial"/>
        </w:rPr>
      </w:pPr>
      <w:r>
        <w:rPr>
          <w:rFonts w:ascii="Arial" w:hAnsi="Arial" w:cs="Arial"/>
          <w:color w:val="000000"/>
        </w:rPr>
        <w:t xml:space="preserve">ASRB wish to assess the impact of the proposed changes to </w:t>
      </w:r>
      <w:r w:rsidRPr="00C549CA">
        <w:rPr>
          <w:rFonts w:ascii="Arial" w:hAnsi="Arial" w:cs="Arial"/>
        </w:rPr>
        <w:t>‘</w:t>
      </w:r>
      <w:r w:rsidRPr="00C549CA">
        <w:rPr>
          <w:rFonts w:ascii="Arial" w:hAnsi="Arial" w:cs="Arial"/>
          <w:bCs/>
        </w:rPr>
        <w:t xml:space="preserve">Northern Ireland Road </w:t>
      </w:r>
      <w:r>
        <w:rPr>
          <w:rFonts w:ascii="Arial" w:hAnsi="Arial" w:cs="Arial"/>
          <w:bCs/>
        </w:rPr>
        <w:t>Safety Strategy Annual Statistical Report</w:t>
      </w:r>
      <w:r w:rsidRPr="00C549CA">
        <w:rPr>
          <w:rFonts w:ascii="Arial" w:hAnsi="Arial" w:cs="Arial"/>
          <w:bCs/>
        </w:rPr>
        <w:t xml:space="preserve">’ </w:t>
      </w:r>
      <w:r w:rsidR="00A57082">
        <w:rPr>
          <w:rFonts w:ascii="Arial" w:hAnsi="Arial" w:cs="Arial"/>
          <w:bCs/>
        </w:rPr>
        <w:t xml:space="preserve">and </w:t>
      </w:r>
      <w:r>
        <w:rPr>
          <w:rFonts w:ascii="Arial" w:hAnsi="Arial" w:cs="Arial"/>
          <w:color w:val="000000"/>
        </w:rPr>
        <w:t xml:space="preserve">would therefore </w:t>
      </w:r>
      <w:r w:rsidRPr="00C549CA">
        <w:rPr>
          <w:rFonts w:ascii="Arial" w:hAnsi="Arial" w:cs="Arial"/>
        </w:rPr>
        <w:t xml:space="preserve">welcome any views </w:t>
      </w:r>
      <w:r>
        <w:rPr>
          <w:rFonts w:ascii="Arial" w:hAnsi="Arial" w:cs="Arial"/>
        </w:rPr>
        <w:t>you may have</w:t>
      </w:r>
      <w:r w:rsidRPr="00C549CA">
        <w:rPr>
          <w:rFonts w:ascii="Arial" w:hAnsi="Arial" w:cs="Arial"/>
        </w:rPr>
        <w:t xml:space="preserve">.  </w:t>
      </w:r>
    </w:p>
    <w:p w:rsidR="00BC6D4D" w:rsidRDefault="00BC6D4D" w:rsidP="00BC6D4D">
      <w:pPr>
        <w:autoSpaceDE w:val="0"/>
        <w:autoSpaceDN w:val="0"/>
        <w:adjustRightInd w:val="0"/>
        <w:spacing w:after="0" w:line="360" w:lineRule="auto"/>
        <w:jc w:val="both"/>
        <w:rPr>
          <w:rFonts w:ascii="Arial" w:hAnsi="Arial" w:cs="Arial"/>
        </w:rPr>
      </w:pPr>
    </w:p>
    <w:p w:rsidR="00BC6D4D" w:rsidRPr="00F65A5D" w:rsidRDefault="00BC6D4D" w:rsidP="00BC6D4D">
      <w:pPr>
        <w:autoSpaceDE w:val="0"/>
        <w:autoSpaceDN w:val="0"/>
        <w:adjustRightInd w:val="0"/>
        <w:spacing w:after="0" w:line="360" w:lineRule="auto"/>
        <w:jc w:val="both"/>
        <w:rPr>
          <w:rFonts w:ascii="Arial" w:hAnsi="Arial" w:cs="Arial"/>
          <w:color w:val="000000"/>
        </w:rPr>
      </w:pPr>
      <w:r w:rsidRPr="00C549CA">
        <w:rPr>
          <w:rFonts w:ascii="Arial" w:hAnsi="Arial" w:cs="Arial"/>
        </w:rPr>
        <w:t xml:space="preserve">Users are invited to complete the </w:t>
      </w:r>
      <w:r w:rsidR="00930EF8">
        <w:rPr>
          <w:rFonts w:ascii="Arial" w:hAnsi="Arial" w:cs="Arial"/>
        </w:rPr>
        <w:t>form</w:t>
      </w:r>
      <w:r w:rsidRPr="00C549CA">
        <w:rPr>
          <w:rFonts w:ascii="Arial" w:hAnsi="Arial" w:cs="Arial"/>
        </w:rPr>
        <w:t xml:space="preserve"> contained in Annexe A of this document and submit it to </w:t>
      </w:r>
      <w:r>
        <w:rPr>
          <w:rFonts w:ascii="Arial" w:hAnsi="Arial" w:cs="Arial"/>
        </w:rPr>
        <w:t>A</w:t>
      </w:r>
      <w:r w:rsidRPr="00C549CA">
        <w:rPr>
          <w:rFonts w:ascii="Arial" w:hAnsi="Arial" w:cs="Arial"/>
        </w:rPr>
        <w:t xml:space="preserve">SRB no later than </w:t>
      </w:r>
      <w:r w:rsidR="00C00A9A">
        <w:rPr>
          <w:rFonts w:ascii="Arial" w:hAnsi="Arial" w:cs="Arial"/>
        </w:rPr>
        <w:t>25</w:t>
      </w:r>
      <w:r w:rsidR="00C00A9A" w:rsidRPr="00AF4A38">
        <w:rPr>
          <w:rFonts w:ascii="Arial" w:hAnsi="Arial" w:cs="Arial"/>
        </w:rPr>
        <w:t xml:space="preserve"> </w:t>
      </w:r>
      <w:r>
        <w:rPr>
          <w:rFonts w:ascii="Arial" w:hAnsi="Arial" w:cs="Arial"/>
        </w:rPr>
        <w:t>August</w:t>
      </w:r>
      <w:r w:rsidRPr="00AF4A38">
        <w:rPr>
          <w:rFonts w:ascii="Arial" w:hAnsi="Arial" w:cs="Arial"/>
        </w:rPr>
        <w:t xml:space="preserve"> 201</w:t>
      </w:r>
      <w:r>
        <w:rPr>
          <w:rFonts w:ascii="Arial" w:hAnsi="Arial" w:cs="Arial"/>
        </w:rPr>
        <w:t>7</w:t>
      </w:r>
      <w:r w:rsidRPr="00C549CA">
        <w:rPr>
          <w:rFonts w:ascii="Arial" w:hAnsi="Arial" w:cs="Arial"/>
        </w:rPr>
        <w:t xml:space="preserve">.  Contact details are provided </w:t>
      </w:r>
      <w:r>
        <w:rPr>
          <w:rFonts w:ascii="Arial" w:hAnsi="Arial" w:cs="Arial"/>
        </w:rPr>
        <w:t xml:space="preserve">at the end of the </w:t>
      </w:r>
      <w:r w:rsidR="00A57082">
        <w:rPr>
          <w:rFonts w:ascii="Arial" w:hAnsi="Arial" w:cs="Arial"/>
        </w:rPr>
        <w:t>form</w:t>
      </w:r>
      <w:r w:rsidRPr="00C549CA">
        <w:rPr>
          <w:rFonts w:ascii="Arial" w:hAnsi="Arial" w:cs="Arial"/>
        </w:rPr>
        <w:t>.</w:t>
      </w:r>
    </w:p>
    <w:p w:rsidR="003078D1" w:rsidRDefault="00BC6D4D" w:rsidP="008F56E3">
      <w:pPr>
        <w:rPr>
          <w:rFonts w:ascii="Arial" w:hAnsi="Arial" w:cs="Arial"/>
          <w:b/>
        </w:rPr>
      </w:pPr>
      <w:bookmarkStart w:id="8" w:name="AnnexA"/>
      <w:r w:rsidRPr="00BC6D4D">
        <w:rPr>
          <w:rFonts w:ascii="Arial" w:hAnsi="Arial" w:cs="Arial"/>
          <w:b/>
        </w:rPr>
        <w:lastRenderedPageBreak/>
        <w:t>Annex A</w:t>
      </w:r>
      <w:r w:rsidR="00930EF8">
        <w:rPr>
          <w:rFonts w:ascii="Arial" w:hAnsi="Arial" w:cs="Arial"/>
          <w:b/>
        </w:rPr>
        <w:t>: User Response</w:t>
      </w:r>
      <w:bookmarkEnd w:id="8"/>
    </w:p>
    <w:p w:rsidR="00930EF8" w:rsidRPr="002F5627" w:rsidRDefault="00930EF8" w:rsidP="002F5627">
      <w:pPr>
        <w:spacing w:line="360" w:lineRule="auto"/>
        <w:jc w:val="both"/>
        <w:rPr>
          <w:rFonts w:ascii="Arial" w:hAnsi="Arial" w:cs="Arial"/>
          <w:bCs/>
        </w:rPr>
      </w:pPr>
      <w:r w:rsidRPr="00C549CA">
        <w:rPr>
          <w:rFonts w:ascii="Arial" w:hAnsi="Arial" w:cs="Arial"/>
        </w:rPr>
        <w:t xml:space="preserve">Please </w:t>
      </w:r>
      <w:r>
        <w:rPr>
          <w:rFonts w:ascii="Arial" w:hAnsi="Arial" w:cs="Arial"/>
        </w:rPr>
        <w:t xml:space="preserve">use the space below to detail any comments, queries of concerns you have about the above proposed changes to the </w:t>
      </w:r>
      <w:r w:rsidRPr="00C549CA">
        <w:rPr>
          <w:rFonts w:ascii="Arial" w:hAnsi="Arial" w:cs="Arial"/>
        </w:rPr>
        <w:t>‘</w:t>
      </w:r>
      <w:r w:rsidRPr="00C549CA">
        <w:rPr>
          <w:rFonts w:ascii="Arial" w:hAnsi="Arial" w:cs="Arial"/>
          <w:bCs/>
        </w:rPr>
        <w:t xml:space="preserve">Northern Ireland Road </w:t>
      </w:r>
      <w:r>
        <w:rPr>
          <w:rFonts w:ascii="Arial" w:hAnsi="Arial" w:cs="Arial"/>
          <w:bCs/>
        </w:rPr>
        <w:t>Safety Strategy Annual Statistical Report</w:t>
      </w:r>
      <w:r w:rsidRPr="00C549CA">
        <w:rPr>
          <w:rFonts w:ascii="Arial" w:hAnsi="Arial" w:cs="Arial"/>
          <w:bCs/>
        </w:rPr>
        <w:t>’</w:t>
      </w:r>
      <w:r>
        <w:rPr>
          <w:rFonts w:ascii="Arial" w:hAnsi="Arial" w:cs="Arial"/>
          <w:bCs/>
        </w:rPr>
        <w:t xml:space="preserve">. </w:t>
      </w:r>
    </w:p>
    <w:p w:rsidR="003078D1" w:rsidRDefault="00930EF8" w:rsidP="00004633">
      <w:pPr>
        <w:spacing w:line="360" w:lineRule="auto"/>
        <w:rPr>
          <w:rFonts w:ascii="Arial" w:hAnsi="Arial" w:cs="Arial"/>
        </w:rPr>
      </w:pPr>
      <w:r>
        <w:rPr>
          <w:rFonts w:ascii="Arial" w:hAnsi="Arial" w:cs="Arial"/>
        </w:rPr>
        <w:t>1</w:t>
      </w:r>
      <w:r w:rsidR="002F5627">
        <w:rPr>
          <w:rFonts w:ascii="Arial" w:hAnsi="Arial" w:cs="Arial"/>
        </w:rPr>
        <w:t>a</w:t>
      </w:r>
      <w:r>
        <w:rPr>
          <w:rFonts w:ascii="Arial" w:hAnsi="Arial" w:cs="Arial"/>
        </w:rPr>
        <w:t xml:space="preserve">: Comments about the </w:t>
      </w:r>
      <w:r w:rsidRPr="00930EF8">
        <w:rPr>
          <w:rFonts w:ascii="Arial" w:hAnsi="Arial" w:cs="Arial"/>
          <w:b/>
        </w:rPr>
        <w:t xml:space="preserve">recommended change </w:t>
      </w:r>
      <w:r w:rsidRPr="00930EF8">
        <w:rPr>
          <w:rFonts w:ascii="Arial" w:hAnsi="Arial" w:cs="Arial"/>
        </w:rPr>
        <w:t>to KPI5</w:t>
      </w:r>
      <w:r>
        <w:rPr>
          <w:rFonts w:ascii="Arial" w:hAnsi="Arial" w:cs="Arial"/>
        </w:rPr>
        <w:t xml:space="preserve">: Rate of killed or seriously injured </w:t>
      </w:r>
      <w:r w:rsidRPr="002F5627">
        <w:rPr>
          <w:rFonts w:ascii="Arial" w:hAnsi="Arial" w:cs="Arial"/>
          <w:b/>
        </w:rPr>
        <w:t>motorcyclists</w:t>
      </w:r>
      <w:r>
        <w:rPr>
          <w:rFonts w:ascii="Arial" w:hAnsi="Arial" w:cs="Arial"/>
        </w:rPr>
        <w:t xml:space="preserve"> per 100 million motorcycle kilometres.</w:t>
      </w:r>
    </w:p>
    <w:p w:rsidR="000C2942" w:rsidRDefault="0096360E" w:rsidP="00004633">
      <w:pPr>
        <w:spacing w:line="360" w:lineRule="auto"/>
        <w:rPr>
          <w:rFonts w:ascii="Arial" w:hAnsi="Arial" w:cs="Arial"/>
          <w:sz w:val="20"/>
          <w:szCs w:val="20"/>
        </w:rPr>
      </w:pPr>
      <w:r>
        <w:rPr>
          <w:rFonts w:ascii="Arial" w:hAnsi="Arial" w:cs="Arial"/>
          <w:sz w:val="20"/>
          <w:szCs w:val="20"/>
        </w:rPr>
      </w:r>
      <w:r>
        <w:rPr>
          <w:rFonts w:ascii="Arial" w:hAnsi="Arial" w:cs="Arial"/>
          <w:sz w:val="20"/>
          <w:szCs w:val="20"/>
        </w:rPr>
        <w:pict>
          <v:shapetype id="_x0000_t202" coordsize="21600,21600" o:spt="202" path="m,l,21600r21600,l21600,xe">
            <v:stroke joinstyle="miter"/>
            <v:path gradientshapeok="t" o:connecttype="rect"/>
          </v:shapetype>
          <v:shape id="_x0000_s1029" type="#_x0000_t202" style="width:449.8pt;height:115.8pt;mso-left-percent:-10001;mso-top-percent:-10001;mso-position-horizontal:absolute;mso-position-horizontal-relative:char;mso-position-vertical:absolute;mso-position-vertical-relative:line;mso-left-percent:-10001;mso-top-percent:-10001">
            <v:textbox style="mso-next-textbox:#_x0000_s1029">
              <w:txbxContent>
                <w:p w:rsidR="000C2942" w:rsidRDefault="000C2942" w:rsidP="000C2942">
                  <w:pPr>
                    <w:spacing w:after="0" w:line="240" w:lineRule="auto"/>
                  </w:pPr>
                </w:p>
                <w:p w:rsidR="000C2942" w:rsidRDefault="000C2942" w:rsidP="000C2942">
                  <w:pPr>
                    <w:spacing w:after="0" w:line="240" w:lineRule="auto"/>
                  </w:pPr>
                </w:p>
              </w:txbxContent>
            </v:textbox>
            <w10:wrap type="none"/>
            <w10:anchorlock/>
          </v:shape>
        </w:pict>
      </w:r>
    </w:p>
    <w:p w:rsidR="00930EF8" w:rsidRDefault="002F5627" w:rsidP="00004633">
      <w:pPr>
        <w:spacing w:line="360" w:lineRule="auto"/>
        <w:rPr>
          <w:rFonts w:ascii="Arial" w:hAnsi="Arial" w:cs="Arial"/>
        </w:rPr>
      </w:pPr>
      <w:r>
        <w:rPr>
          <w:rFonts w:ascii="Arial" w:hAnsi="Arial" w:cs="Arial"/>
        </w:rPr>
        <w:t xml:space="preserve">1b: Comments about the </w:t>
      </w:r>
      <w:r w:rsidRPr="00930EF8">
        <w:rPr>
          <w:rFonts w:ascii="Arial" w:hAnsi="Arial" w:cs="Arial"/>
          <w:b/>
        </w:rPr>
        <w:t xml:space="preserve">recommended change </w:t>
      </w:r>
      <w:r w:rsidRPr="00930EF8">
        <w:rPr>
          <w:rFonts w:ascii="Arial" w:hAnsi="Arial" w:cs="Arial"/>
        </w:rPr>
        <w:t>to KPI</w:t>
      </w:r>
      <w:r>
        <w:rPr>
          <w:rFonts w:ascii="Arial" w:hAnsi="Arial" w:cs="Arial"/>
        </w:rPr>
        <w:t xml:space="preserve">4: Rate of killed or seriously injured </w:t>
      </w:r>
      <w:r w:rsidRPr="002F5627">
        <w:rPr>
          <w:rFonts w:ascii="Arial" w:hAnsi="Arial" w:cs="Arial"/>
          <w:b/>
        </w:rPr>
        <w:t>pedal cyclists</w:t>
      </w:r>
      <w:r>
        <w:rPr>
          <w:rFonts w:ascii="Arial" w:hAnsi="Arial" w:cs="Arial"/>
        </w:rPr>
        <w:t xml:space="preserve"> per 100 million kilometres cycled.</w:t>
      </w:r>
    </w:p>
    <w:p w:rsidR="00DD6362" w:rsidRDefault="0096360E" w:rsidP="00930EF8">
      <w:pPr>
        <w:spacing w:line="360" w:lineRule="auto"/>
        <w:rPr>
          <w:rFonts w:ascii="Arial" w:hAnsi="Arial" w:cs="Arial"/>
        </w:rPr>
      </w:pPr>
      <w:r w:rsidRPr="0096360E">
        <w:rPr>
          <w:rFonts w:ascii="Arial" w:hAnsi="Arial" w:cs="Arial"/>
          <w:sz w:val="20"/>
          <w:szCs w:val="20"/>
        </w:rPr>
      </w:r>
      <w:r w:rsidRPr="0096360E">
        <w:rPr>
          <w:rFonts w:ascii="Arial" w:hAnsi="Arial" w:cs="Arial"/>
          <w:sz w:val="20"/>
          <w:szCs w:val="20"/>
        </w:rPr>
        <w:pict>
          <v:shape id="_x0000_s1028" type="#_x0000_t202" style="width:449.8pt;height:123.95pt;mso-left-percent:-10001;mso-top-percent:-10001;mso-position-horizontal:absolute;mso-position-horizontal-relative:char;mso-position-vertical:absolute;mso-position-vertical-relative:line;mso-left-percent:-10001;mso-top-percent:-10001">
            <v:textbox style="mso-next-textbox:#_x0000_s1028">
              <w:txbxContent>
                <w:p w:rsidR="000C2942" w:rsidRDefault="000C2942" w:rsidP="000C2942"/>
              </w:txbxContent>
            </v:textbox>
            <w10:wrap type="none"/>
            <w10:anchorlock/>
          </v:shape>
        </w:pict>
      </w:r>
    </w:p>
    <w:p w:rsidR="00930EF8" w:rsidRDefault="00930EF8" w:rsidP="00930EF8">
      <w:pPr>
        <w:spacing w:line="360" w:lineRule="auto"/>
        <w:rPr>
          <w:rFonts w:ascii="Arial" w:hAnsi="Arial" w:cs="Arial"/>
        </w:rPr>
      </w:pPr>
      <w:r>
        <w:rPr>
          <w:rFonts w:ascii="Arial" w:hAnsi="Arial" w:cs="Arial"/>
        </w:rPr>
        <w:t xml:space="preserve">2: Comments about the </w:t>
      </w:r>
      <w:r w:rsidRPr="00930EF8">
        <w:rPr>
          <w:rFonts w:ascii="Arial" w:hAnsi="Arial" w:cs="Arial"/>
          <w:b/>
        </w:rPr>
        <w:t>required changes</w:t>
      </w:r>
      <w:r>
        <w:rPr>
          <w:rFonts w:ascii="Arial" w:hAnsi="Arial" w:cs="Arial"/>
        </w:rPr>
        <w:t xml:space="preserve"> to:</w:t>
      </w:r>
    </w:p>
    <w:p w:rsidR="00930EF8" w:rsidRDefault="00930EF8" w:rsidP="00930EF8">
      <w:pPr>
        <w:pStyle w:val="ListParagraph"/>
        <w:numPr>
          <w:ilvl w:val="0"/>
          <w:numId w:val="2"/>
        </w:numPr>
        <w:spacing w:line="360" w:lineRule="auto"/>
        <w:rPr>
          <w:rFonts w:ascii="Arial" w:hAnsi="Arial" w:cs="Arial"/>
        </w:rPr>
      </w:pPr>
      <w:r>
        <w:rPr>
          <w:rFonts w:ascii="Arial" w:hAnsi="Arial" w:cs="Arial"/>
        </w:rPr>
        <w:t xml:space="preserve">KPI1: </w:t>
      </w:r>
      <w:r w:rsidRPr="00896F46">
        <w:rPr>
          <w:rFonts w:ascii="Arial" w:hAnsi="Arial" w:cs="Arial"/>
        </w:rPr>
        <w:t>Rate of road deaths per 100 million vehicle kilometres</w:t>
      </w:r>
    </w:p>
    <w:p w:rsidR="00930EF8" w:rsidRDefault="00930EF8" w:rsidP="00930EF8">
      <w:pPr>
        <w:pStyle w:val="ListParagraph"/>
        <w:numPr>
          <w:ilvl w:val="0"/>
          <w:numId w:val="2"/>
        </w:numPr>
        <w:spacing w:line="360" w:lineRule="auto"/>
        <w:rPr>
          <w:rFonts w:ascii="Arial" w:hAnsi="Arial" w:cs="Arial"/>
        </w:rPr>
      </w:pPr>
      <w:r>
        <w:rPr>
          <w:rFonts w:ascii="Arial" w:hAnsi="Arial" w:cs="Arial"/>
        </w:rPr>
        <w:t xml:space="preserve">KPI6: </w:t>
      </w:r>
      <w:r w:rsidRPr="00896F46">
        <w:rPr>
          <w:rFonts w:ascii="Arial" w:hAnsi="Arial" w:cs="Arial"/>
        </w:rPr>
        <w:t>Rate of car users KSIs per 100 million kilometres (cars and vans)</w:t>
      </w:r>
    </w:p>
    <w:p w:rsidR="00930EF8" w:rsidRPr="00930EF8" w:rsidRDefault="00930EF8" w:rsidP="00930EF8">
      <w:pPr>
        <w:pStyle w:val="ListParagraph"/>
        <w:numPr>
          <w:ilvl w:val="0"/>
          <w:numId w:val="2"/>
        </w:numPr>
        <w:spacing w:line="360" w:lineRule="auto"/>
        <w:rPr>
          <w:rFonts w:ascii="Arial" w:hAnsi="Arial" w:cs="Arial"/>
        </w:rPr>
      </w:pPr>
      <w:r w:rsidRPr="00930EF8">
        <w:rPr>
          <w:rFonts w:ascii="Arial" w:hAnsi="Arial" w:cs="Arial"/>
        </w:rPr>
        <w:t>KPI7: Rate of fatal and serious collisions per 100 million vehicle kilometres</w:t>
      </w:r>
    </w:p>
    <w:p w:rsidR="00930EF8" w:rsidRDefault="0096360E" w:rsidP="00930EF8">
      <w:pPr>
        <w:spacing w:line="360" w:lineRule="auto"/>
        <w:rPr>
          <w:rFonts w:ascii="Arial" w:hAnsi="Arial" w:cs="Arial"/>
        </w:rPr>
      </w:pPr>
      <w:r w:rsidRPr="0096360E">
        <w:rPr>
          <w:rFonts w:ascii="Arial" w:hAnsi="Arial" w:cs="Arial"/>
          <w:sz w:val="20"/>
          <w:szCs w:val="20"/>
        </w:rPr>
      </w:r>
      <w:r w:rsidRPr="0096360E">
        <w:rPr>
          <w:rFonts w:ascii="Arial" w:hAnsi="Arial" w:cs="Arial"/>
          <w:sz w:val="20"/>
          <w:szCs w:val="20"/>
        </w:rPr>
        <w:pict>
          <v:shape id="_x0000_s1027" type="#_x0000_t202" style="width:449.8pt;height:114pt;mso-left-percent:-10001;mso-top-percent:-10001;mso-position-horizontal:absolute;mso-position-horizontal-relative:char;mso-position-vertical:absolute;mso-position-vertical-relative:line;mso-left-percent:-10001;mso-top-percent:-10001">
            <v:textbox style="mso-next-textbox:#_x0000_s1027">
              <w:txbxContent>
                <w:p w:rsidR="000C2942" w:rsidRPr="000C2942" w:rsidRDefault="000C2942" w:rsidP="000C2942"/>
              </w:txbxContent>
            </v:textbox>
            <w10:wrap type="none"/>
            <w10:anchorlock/>
          </v:shape>
        </w:pict>
      </w:r>
    </w:p>
    <w:p w:rsidR="000C2942" w:rsidRDefault="000C2942" w:rsidP="00A57082">
      <w:pPr>
        <w:spacing w:after="0" w:line="360" w:lineRule="auto"/>
        <w:rPr>
          <w:rFonts w:ascii="Arial" w:hAnsi="Arial" w:cs="Arial"/>
        </w:rPr>
      </w:pPr>
      <w:r>
        <w:rPr>
          <w:rFonts w:ascii="Arial" w:hAnsi="Arial" w:cs="Arial"/>
        </w:rPr>
        <w:lastRenderedPageBreak/>
        <w:t>Details of respondent:</w:t>
      </w:r>
    </w:p>
    <w:tbl>
      <w:tblPr>
        <w:tblStyle w:val="TableGrid"/>
        <w:tblW w:w="0" w:type="auto"/>
        <w:tblLook w:val="04A0"/>
      </w:tblPr>
      <w:tblGrid>
        <w:gridCol w:w="3085"/>
        <w:gridCol w:w="6095"/>
      </w:tblGrid>
      <w:tr w:rsidR="000C2942" w:rsidRPr="00654270" w:rsidTr="000C2942">
        <w:trPr>
          <w:trHeight w:val="322"/>
        </w:trPr>
        <w:tc>
          <w:tcPr>
            <w:tcW w:w="3085" w:type="dxa"/>
            <w:vAlign w:val="center"/>
          </w:tcPr>
          <w:p w:rsidR="000C2942" w:rsidRPr="00E252B3" w:rsidRDefault="000C2942" w:rsidP="000C2942">
            <w:pPr>
              <w:rPr>
                <w:rFonts w:ascii="Arial" w:hAnsi="Arial" w:cs="Arial"/>
                <w:b/>
                <w:u w:val="single"/>
              </w:rPr>
            </w:pPr>
            <w:r w:rsidRPr="00E252B3">
              <w:rPr>
                <w:rFonts w:ascii="Arial" w:hAnsi="Arial" w:cs="Arial"/>
              </w:rPr>
              <w:t xml:space="preserve">Name </w:t>
            </w:r>
          </w:p>
        </w:tc>
        <w:tc>
          <w:tcPr>
            <w:tcW w:w="6095" w:type="dxa"/>
            <w:vAlign w:val="center"/>
          </w:tcPr>
          <w:p w:rsidR="000C2942" w:rsidRPr="00654270" w:rsidRDefault="000C2942" w:rsidP="000C2942">
            <w:pPr>
              <w:spacing w:after="200" w:line="276" w:lineRule="auto"/>
              <w:rPr>
                <w:rFonts w:ascii="Arial" w:hAnsi="Arial" w:cs="Arial"/>
                <w:b/>
                <w:sz w:val="20"/>
                <w:szCs w:val="20"/>
                <w:u w:val="single"/>
              </w:rPr>
            </w:pPr>
          </w:p>
        </w:tc>
      </w:tr>
      <w:tr w:rsidR="000C2942" w:rsidRPr="00654270" w:rsidTr="000C2942">
        <w:tc>
          <w:tcPr>
            <w:tcW w:w="3085" w:type="dxa"/>
            <w:vAlign w:val="center"/>
          </w:tcPr>
          <w:p w:rsidR="000C2942" w:rsidRPr="00E252B3" w:rsidRDefault="000C2942" w:rsidP="000C2942">
            <w:pPr>
              <w:rPr>
                <w:rFonts w:ascii="Arial" w:hAnsi="Arial" w:cs="Arial"/>
              </w:rPr>
            </w:pPr>
            <w:r w:rsidRPr="00E252B3">
              <w:rPr>
                <w:rFonts w:ascii="Arial" w:hAnsi="Arial" w:cs="Arial"/>
              </w:rPr>
              <w:t>Organisation(s) represented:</w:t>
            </w:r>
          </w:p>
        </w:tc>
        <w:tc>
          <w:tcPr>
            <w:tcW w:w="6095" w:type="dxa"/>
            <w:vAlign w:val="center"/>
          </w:tcPr>
          <w:p w:rsidR="000C2942" w:rsidRPr="00654270" w:rsidRDefault="000C2942" w:rsidP="000C2942">
            <w:pPr>
              <w:spacing w:after="200" w:line="276" w:lineRule="auto"/>
              <w:rPr>
                <w:rFonts w:ascii="Arial" w:hAnsi="Arial" w:cs="Arial"/>
                <w:b/>
                <w:sz w:val="20"/>
                <w:szCs w:val="20"/>
                <w:u w:val="single"/>
              </w:rPr>
            </w:pPr>
          </w:p>
        </w:tc>
      </w:tr>
      <w:tr w:rsidR="000C2942" w:rsidRPr="00654270" w:rsidTr="000C2942">
        <w:tc>
          <w:tcPr>
            <w:tcW w:w="3085" w:type="dxa"/>
            <w:vAlign w:val="center"/>
          </w:tcPr>
          <w:p w:rsidR="000C2942" w:rsidRPr="00E252B3" w:rsidRDefault="000C2942" w:rsidP="000C2942">
            <w:pPr>
              <w:spacing w:after="200" w:line="276" w:lineRule="auto"/>
              <w:rPr>
                <w:rFonts w:ascii="Arial" w:hAnsi="Arial" w:cs="Arial"/>
                <w:b/>
                <w:u w:val="single"/>
              </w:rPr>
            </w:pPr>
            <w:r w:rsidRPr="00E252B3">
              <w:rPr>
                <w:rFonts w:ascii="Arial" w:hAnsi="Arial" w:cs="Arial"/>
              </w:rPr>
              <w:t>Address</w:t>
            </w:r>
          </w:p>
        </w:tc>
        <w:tc>
          <w:tcPr>
            <w:tcW w:w="6095" w:type="dxa"/>
            <w:vAlign w:val="center"/>
          </w:tcPr>
          <w:p w:rsidR="000C2942" w:rsidRPr="00654270" w:rsidRDefault="000C2942" w:rsidP="000C2942">
            <w:pPr>
              <w:spacing w:after="200" w:line="276" w:lineRule="auto"/>
              <w:rPr>
                <w:rFonts w:ascii="Arial" w:hAnsi="Arial" w:cs="Arial"/>
                <w:b/>
                <w:sz w:val="20"/>
                <w:szCs w:val="20"/>
                <w:u w:val="single"/>
              </w:rPr>
            </w:pPr>
          </w:p>
          <w:p w:rsidR="000C2942" w:rsidRPr="00654270" w:rsidRDefault="000C2942" w:rsidP="000C2942">
            <w:pPr>
              <w:spacing w:after="200" w:line="276" w:lineRule="auto"/>
              <w:rPr>
                <w:rFonts w:ascii="Arial" w:hAnsi="Arial" w:cs="Arial"/>
                <w:b/>
                <w:sz w:val="20"/>
                <w:szCs w:val="20"/>
                <w:u w:val="single"/>
              </w:rPr>
            </w:pPr>
          </w:p>
          <w:p w:rsidR="000C2942" w:rsidRPr="00654270" w:rsidRDefault="000C2942" w:rsidP="000C2942">
            <w:pPr>
              <w:spacing w:after="200" w:line="276" w:lineRule="auto"/>
              <w:rPr>
                <w:rFonts w:ascii="Arial" w:hAnsi="Arial" w:cs="Arial"/>
                <w:b/>
                <w:sz w:val="20"/>
                <w:szCs w:val="20"/>
                <w:u w:val="single"/>
              </w:rPr>
            </w:pPr>
          </w:p>
        </w:tc>
      </w:tr>
      <w:tr w:rsidR="000C2942" w:rsidRPr="00654270" w:rsidTr="000C2942">
        <w:trPr>
          <w:trHeight w:val="383"/>
        </w:trPr>
        <w:tc>
          <w:tcPr>
            <w:tcW w:w="3085" w:type="dxa"/>
            <w:vAlign w:val="center"/>
          </w:tcPr>
          <w:p w:rsidR="000C2942" w:rsidRPr="00E252B3" w:rsidRDefault="000C2942" w:rsidP="000C2942">
            <w:pPr>
              <w:spacing w:line="276" w:lineRule="auto"/>
              <w:rPr>
                <w:rFonts w:ascii="Arial" w:hAnsi="Arial" w:cs="Arial"/>
                <w:b/>
                <w:u w:val="single"/>
              </w:rPr>
            </w:pPr>
            <w:r w:rsidRPr="00E252B3">
              <w:rPr>
                <w:rFonts w:ascii="Arial" w:hAnsi="Arial" w:cs="Arial"/>
              </w:rPr>
              <w:t>Telephone number</w:t>
            </w:r>
            <w:r w:rsidRPr="00E252B3">
              <w:rPr>
                <w:rFonts w:ascii="Arial" w:hAnsi="Arial" w:cs="Arial"/>
              </w:rPr>
              <w:tab/>
            </w:r>
          </w:p>
        </w:tc>
        <w:tc>
          <w:tcPr>
            <w:tcW w:w="6095" w:type="dxa"/>
            <w:vAlign w:val="center"/>
          </w:tcPr>
          <w:p w:rsidR="000C2942" w:rsidRPr="00654270" w:rsidRDefault="000C2942" w:rsidP="000C2942">
            <w:pPr>
              <w:spacing w:line="276" w:lineRule="auto"/>
              <w:rPr>
                <w:rFonts w:ascii="Arial" w:hAnsi="Arial" w:cs="Arial"/>
                <w:b/>
                <w:sz w:val="20"/>
                <w:szCs w:val="20"/>
                <w:u w:val="single"/>
              </w:rPr>
            </w:pPr>
          </w:p>
        </w:tc>
      </w:tr>
      <w:tr w:rsidR="000C2942" w:rsidRPr="00654270" w:rsidTr="000C2942">
        <w:trPr>
          <w:trHeight w:val="416"/>
        </w:trPr>
        <w:tc>
          <w:tcPr>
            <w:tcW w:w="3085" w:type="dxa"/>
            <w:vAlign w:val="center"/>
          </w:tcPr>
          <w:p w:rsidR="000C2942" w:rsidRPr="00E252B3" w:rsidRDefault="000C2942" w:rsidP="000C2942">
            <w:pPr>
              <w:spacing w:line="276" w:lineRule="auto"/>
              <w:rPr>
                <w:rFonts w:ascii="Arial" w:hAnsi="Arial" w:cs="Arial"/>
                <w:b/>
                <w:u w:val="single"/>
              </w:rPr>
            </w:pPr>
            <w:r w:rsidRPr="00E252B3">
              <w:rPr>
                <w:rFonts w:ascii="Arial" w:hAnsi="Arial" w:cs="Arial"/>
              </w:rPr>
              <w:t>E-mail address</w:t>
            </w:r>
          </w:p>
        </w:tc>
        <w:tc>
          <w:tcPr>
            <w:tcW w:w="6095" w:type="dxa"/>
            <w:vAlign w:val="center"/>
          </w:tcPr>
          <w:p w:rsidR="000C2942" w:rsidRPr="00654270" w:rsidRDefault="000C2942" w:rsidP="000C2942">
            <w:pPr>
              <w:spacing w:line="276" w:lineRule="auto"/>
              <w:rPr>
                <w:rFonts w:ascii="Arial" w:hAnsi="Arial" w:cs="Arial"/>
                <w:b/>
                <w:sz w:val="20"/>
                <w:szCs w:val="20"/>
                <w:u w:val="single"/>
              </w:rPr>
            </w:pPr>
          </w:p>
        </w:tc>
      </w:tr>
    </w:tbl>
    <w:p w:rsidR="00A57082" w:rsidRDefault="00A57082" w:rsidP="000C2942">
      <w:pPr>
        <w:spacing w:after="0" w:line="360" w:lineRule="auto"/>
        <w:rPr>
          <w:rFonts w:ascii="Arial" w:hAnsi="Arial" w:cs="Arial"/>
          <w:b/>
        </w:rPr>
      </w:pPr>
    </w:p>
    <w:p w:rsidR="00A57082" w:rsidRDefault="00A57082" w:rsidP="00A57082">
      <w:pPr>
        <w:spacing w:line="360" w:lineRule="auto"/>
        <w:jc w:val="center"/>
        <w:rPr>
          <w:rFonts w:ascii="Arial" w:hAnsi="Arial" w:cs="Arial"/>
          <w:b/>
        </w:rPr>
      </w:pPr>
    </w:p>
    <w:p w:rsidR="00A57082" w:rsidRPr="00C549CA" w:rsidRDefault="00A57082" w:rsidP="00A57082">
      <w:pPr>
        <w:spacing w:line="360" w:lineRule="auto"/>
        <w:jc w:val="center"/>
        <w:rPr>
          <w:rFonts w:ascii="Arial" w:hAnsi="Arial" w:cs="Arial"/>
          <w:b/>
        </w:rPr>
      </w:pPr>
      <w:r w:rsidRPr="00C549CA">
        <w:rPr>
          <w:rFonts w:ascii="Arial" w:hAnsi="Arial" w:cs="Arial"/>
          <w:b/>
        </w:rPr>
        <w:t xml:space="preserve">Responses should be returned no later than </w:t>
      </w:r>
      <w:r w:rsidR="00C00A9A">
        <w:rPr>
          <w:rFonts w:ascii="Arial" w:hAnsi="Arial" w:cs="Arial"/>
          <w:b/>
        </w:rPr>
        <w:t>25</w:t>
      </w:r>
      <w:r w:rsidR="00C00A9A" w:rsidRPr="00AF4A38">
        <w:rPr>
          <w:rFonts w:ascii="Arial" w:hAnsi="Arial" w:cs="Arial"/>
          <w:b/>
        </w:rPr>
        <w:t xml:space="preserve"> </w:t>
      </w:r>
      <w:r>
        <w:rPr>
          <w:rFonts w:ascii="Arial" w:hAnsi="Arial" w:cs="Arial"/>
          <w:b/>
        </w:rPr>
        <w:t>August</w:t>
      </w:r>
      <w:r w:rsidRPr="00AF4A38">
        <w:rPr>
          <w:rFonts w:ascii="Arial" w:hAnsi="Arial" w:cs="Arial"/>
          <w:b/>
        </w:rPr>
        <w:t xml:space="preserve"> 201</w:t>
      </w:r>
      <w:r>
        <w:rPr>
          <w:rFonts w:ascii="Arial" w:hAnsi="Arial" w:cs="Arial"/>
          <w:b/>
        </w:rPr>
        <w:t>7</w:t>
      </w:r>
      <w:r w:rsidRPr="00AF4A38">
        <w:rPr>
          <w:rFonts w:ascii="Arial" w:hAnsi="Arial" w:cs="Arial"/>
          <w:b/>
        </w:rPr>
        <w:t>.</w:t>
      </w:r>
    </w:p>
    <w:p w:rsidR="00A57082" w:rsidRDefault="00A57082" w:rsidP="00A57082">
      <w:pPr>
        <w:spacing w:after="0" w:line="360" w:lineRule="auto"/>
        <w:rPr>
          <w:rFonts w:ascii="Arial" w:hAnsi="Arial" w:cs="Arial"/>
        </w:rPr>
      </w:pPr>
    </w:p>
    <w:p w:rsidR="00A57082" w:rsidRPr="00C549CA" w:rsidRDefault="00A57082" w:rsidP="00A57082">
      <w:pPr>
        <w:spacing w:after="0" w:line="360" w:lineRule="auto"/>
        <w:rPr>
          <w:rFonts w:ascii="Arial" w:eastAsiaTheme="minorEastAsia" w:hAnsi="Arial" w:cs="Arial"/>
          <w:noProof/>
          <w:lang w:eastAsia="en-GB"/>
        </w:rPr>
      </w:pPr>
      <w:r w:rsidRPr="00C549CA">
        <w:rPr>
          <w:rFonts w:ascii="Arial" w:hAnsi="Arial" w:cs="Arial"/>
        </w:rPr>
        <w:t>Please return in writing to:</w:t>
      </w:r>
      <w:r w:rsidRPr="00C549CA">
        <w:rPr>
          <w:rFonts w:ascii="Arial" w:hAnsi="Arial" w:cs="Arial"/>
        </w:rPr>
        <w:tab/>
      </w:r>
      <w:bookmarkStart w:id="9" w:name="_MailAutoSig"/>
      <w:r>
        <w:rPr>
          <w:rFonts w:ascii="Arial" w:eastAsiaTheme="minorEastAsia" w:hAnsi="Arial" w:cs="Arial"/>
          <w:noProof/>
          <w:lang w:eastAsia="en-GB"/>
        </w:rPr>
        <w:t>Helen Irwin</w:t>
      </w:r>
    </w:p>
    <w:p w:rsidR="00A57082" w:rsidRPr="00C549CA" w:rsidRDefault="00A57082" w:rsidP="00A57082">
      <w:pPr>
        <w:spacing w:after="0" w:line="360" w:lineRule="auto"/>
        <w:ind w:left="2880"/>
        <w:rPr>
          <w:rFonts w:ascii="Arial" w:eastAsiaTheme="minorEastAsia" w:hAnsi="Arial" w:cs="Arial"/>
          <w:noProof/>
          <w:lang w:eastAsia="en-GB"/>
        </w:rPr>
      </w:pPr>
      <w:r>
        <w:rPr>
          <w:rFonts w:ascii="Arial" w:eastAsiaTheme="minorEastAsia" w:hAnsi="Arial" w:cs="Arial"/>
          <w:noProof/>
          <w:lang w:eastAsia="en-GB"/>
        </w:rPr>
        <w:t>Analysis</w:t>
      </w:r>
      <w:r w:rsidRPr="00C549CA">
        <w:rPr>
          <w:rFonts w:ascii="Arial" w:eastAsiaTheme="minorEastAsia" w:hAnsi="Arial" w:cs="Arial"/>
          <w:noProof/>
          <w:lang w:eastAsia="en-GB"/>
        </w:rPr>
        <w:t xml:space="preserve"> Statistics &amp; Research Branch</w:t>
      </w:r>
      <w:r w:rsidRPr="00C549CA">
        <w:rPr>
          <w:rFonts w:ascii="Arial" w:eastAsiaTheme="minorEastAsia" w:hAnsi="Arial" w:cs="Arial"/>
          <w:noProof/>
          <w:lang w:eastAsia="en-GB"/>
        </w:rPr>
        <w:br/>
        <w:t>Room 4</w:t>
      </w:r>
      <w:r>
        <w:rPr>
          <w:rFonts w:ascii="Arial" w:eastAsiaTheme="minorEastAsia" w:hAnsi="Arial" w:cs="Arial"/>
          <w:noProof/>
          <w:lang w:eastAsia="en-GB"/>
        </w:rPr>
        <w:t>.13C</w:t>
      </w:r>
      <w:r w:rsidRPr="00C549CA">
        <w:rPr>
          <w:rFonts w:ascii="Arial" w:eastAsiaTheme="minorEastAsia" w:hAnsi="Arial" w:cs="Arial"/>
          <w:noProof/>
          <w:lang w:eastAsia="en-GB"/>
        </w:rPr>
        <w:t xml:space="preserve"> </w:t>
      </w:r>
      <w:r w:rsidRPr="00C549CA">
        <w:rPr>
          <w:rFonts w:ascii="Arial" w:eastAsiaTheme="minorEastAsia" w:hAnsi="Arial" w:cs="Arial"/>
          <w:noProof/>
          <w:lang w:eastAsia="en-GB"/>
        </w:rPr>
        <w:br/>
        <w:t xml:space="preserve">Clarence Court </w:t>
      </w:r>
      <w:r w:rsidRPr="00C549CA">
        <w:rPr>
          <w:rFonts w:ascii="Arial" w:eastAsiaTheme="minorEastAsia" w:hAnsi="Arial" w:cs="Arial"/>
          <w:noProof/>
          <w:lang w:eastAsia="en-GB"/>
        </w:rPr>
        <w:br/>
        <w:t xml:space="preserve">10-18 Adelaide Street </w:t>
      </w:r>
      <w:r w:rsidRPr="00C549CA">
        <w:rPr>
          <w:rFonts w:ascii="Arial" w:eastAsiaTheme="minorEastAsia" w:hAnsi="Arial" w:cs="Arial"/>
          <w:noProof/>
          <w:lang w:eastAsia="en-GB"/>
        </w:rPr>
        <w:br/>
        <w:t>Belfast</w:t>
      </w:r>
    </w:p>
    <w:p w:rsidR="00A57082" w:rsidRPr="00C549CA" w:rsidRDefault="00A57082" w:rsidP="00A57082">
      <w:pPr>
        <w:spacing w:line="360" w:lineRule="auto"/>
        <w:ind w:left="2160" w:firstLine="720"/>
        <w:rPr>
          <w:rFonts w:ascii="Arial" w:eastAsiaTheme="minorEastAsia" w:hAnsi="Arial" w:cs="Arial"/>
          <w:noProof/>
          <w:lang w:eastAsia="en-GB"/>
        </w:rPr>
      </w:pPr>
      <w:r w:rsidRPr="00C549CA">
        <w:rPr>
          <w:rFonts w:ascii="Arial" w:eastAsiaTheme="minorEastAsia" w:hAnsi="Arial" w:cs="Arial"/>
          <w:noProof/>
          <w:lang w:eastAsia="en-GB"/>
        </w:rPr>
        <w:t>BT2 8GB</w:t>
      </w:r>
    </w:p>
    <w:p w:rsidR="00A57082" w:rsidRPr="00C549CA" w:rsidRDefault="00A57082" w:rsidP="00A57082">
      <w:pPr>
        <w:rPr>
          <w:rFonts w:ascii="Arial" w:eastAsiaTheme="minorEastAsia" w:hAnsi="Arial" w:cs="Arial"/>
          <w:noProof/>
          <w:lang w:eastAsia="en-GB"/>
        </w:rPr>
      </w:pPr>
      <w:r w:rsidRPr="00C549CA">
        <w:rPr>
          <w:rFonts w:ascii="Arial" w:eastAsiaTheme="minorEastAsia" w:hAnsi="Arial" w:cs="Arial"/>
          <w:noProof/>
          <w:lang w:eastAsia="en-GB"/>
        </w:rPr>
        <w:t>or by email to:</w:t>
      </w:r>
      <w:bookmarkEnd w:id="9"/>
      <w:r w:rsidRPr="00C549CA">
        <w:rPr>
          <w:rFonts w:ascii="Arial" w:eastAsiaTheme="minorEastAsia" w:hAnsi="Arial" w:cs="Arial"/>
          <w:noProof/>
          <w:lang w:eastAsia="en-GB"/>
        </w:rPr>
        <w:tab/>
      </w:r>
      <w:r w:rsidRPr="00C549CA">
        <w:rPr>
          <w:rFonts w:ascii="Arial" w:eastAsiaTheme="minorEastAsia" w:hAnsi="Arial" w:cs="Arial"/>
          <w:noProof/>
          <w:lang w:eastAsia="en-GB"/>
        </w:rPr>
        <w:tab/>
      </w:r>
      <w:r w:rsidRPr="00C549CA">
        <w:rPr>
          <w:rFonts w:ascii="Arial" w:eastAsiaTheme="minorEastAsia" w:hAnsi="Arial" w:cs="Arial"/>
          <w:noProof/>
          <w:lang w:eastAsia="en-GB"/>
        </w:rPr>
        <w:tab/>
      </w:r>
      <w:hyperlink r:id="rId12" w:history="1">
        <w:r w:rsidRPr="00427453">
          <w:rPr>
            <w:rStyle w:val="Hyperlink"/>
            <w:rFonts w:ascii="Arial" w:eastAsiaTheme="minorEastAsia" w:hAnsi="Arial" w:cs="Arial"/>
            <w:noProof/>
            <w:lang w:eastAsia="en-GB"/>
          </w:rPr>
          <w:t>Helen.Irwin@infrastructure-ni.gov.uk</w:t>
        </w:r>
      </w:hyperlink>
    </w:p>
    <w:p w:rsidR="00A57082" w:rsidRDefault="00A57082" w:rsidP="00A57082">
      <w:pPr>
        <w:spacing w:after="0" w:line="360" w:lineRule="auto"/>
        <w:jc w:val="center"/>
        <w:rPr>
          <w:rFonts w:ascii="Arial" w:hAnsi="Arial" w:cs="Arial"/>
          <w:b/>
        </w:rPr>
      </w:pPr>
    </w:p>
    <w:p w:rsidR="00A57082" w:rsidRPr="00C549CA" w:rsidRDefault="00A57082" w:rsidP="00A57082">
      <w:pPr>
        <w:spacing w:after="0" w:line="360" w:lineRule="auto"/>
        <w:jc w:val="center"/>
        <w:rPr>
          <w:rFonts w:ascii="Arial" w:hAnsi="Arial" w:cs="Arial"/>
          <w:b/>
        </w:rPr>
      </w:pPr>
    </w:p>
    <w:p w:rsidR="00A57082" w:rsidRPr="00C549CA" w:rsidRDefault="00A57082" w:rsidP="00A57082">
      <w:pPr>
        <w:spacing w:after="0" w:line="360" w:lineRule="auto"/>
        <w:jc w:val="center"/>
        <w:rPr>
          <w:rFonts w:ascii="Arial" w:hAnsi="Arial" w:cs="Arial"/>
          <w:b/>
        </w:rPr>
      </w:pPr>
    </w:p>
    <w:p w:rsidR="00A57082" w:rsidRDefault="00A57082" w:rsidP="00A57082">
      <w:pPr>
        <w:spacing w:after="0" w:line="480" w:lineRule="auto"/>
        <w:jc w:val="center"/>
        <w:rPr>
          <w:rFonts w:ascii="Arial" w:hAnsi="Arial" w:cs="Arial"/>
          <w:b/>
        </w:rPr>
      </w:pPr>
      <w:r w:rsidRPr="00C549CA">
        <w:rPr>
          <w:rFonts w:ascii="Arial" w:hAnsi="Arial" w:cs="Arial"/>
          <w:b/>
        </w:rPr>
        <w:t>Many thanks for your response.</w:t>
      </w:r>
    </w:p>
    <w:p w:rsidR="00A57082" w:rsidRPr="00C549CA" w:rsidRDefault="00A57082" w:rsidP="00A57082">
      <w:pPr>
        <w:spacing w:after="0" w:line="480" w:lineRule="auto"/>
        <w:jc w:val="center"/>
        <w:rPr>
          <w:rFonts w:ascii="Arial" w:hAnsi="Arial" w:cs="Arial"/>
          <w:b/>
        </w:rPr>
      </w:pPr>
      <w:r w:rsidRPr="00C549CA">
        <w:rPr>
          <w:rFonts w:ascii="Arial" w:hAnsi="Arial" w:cs="Arial"/>
          <w:b/>
        </w:rPr>
        <w:t>Please note that responses may be made public and attributable to the respondent.</w:t>
      </w:r>
    </w:p>
    <w:p w:rsidR="00A57082" w:rsidRDefault="00A57082" w:rsidP="00930EF8">
      <w:pPr>
        <w:spacing w:line="360" w:lineRule="auto"/>
        <w:rPr>
          <w:rFonts w:ascii="Arial" w:hAnsi="Arial" w:cs="Arial"/>
        </w:rPr>
      </w:pPr>
    </w:p>
    <w:sectPr w:rsidR="00A57082" w:rsidSect="00020CC4">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2CA" w:rsidRDefault="001062CA" w:rsidP="00896F46">
      <w:pPr>
        <w:spacing w:after="0" w:line="240" w:lineRule="auto"/>
      </w:pPr>
      <w:r>
        <w:separator/>
      </w:r>
    </w:p>
  </w:endnote>
  <w:endnote w:type="continuationSeparator" w:id="0">
    <w:p w:rsidR="001062CA" w:rsidRDefault="001062CA" w:rsidP="00896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4907"/>
      <w:docPartObj>
        <w:docPartGallery w:val="Page Numbers (Bottom of Page)"/>
        <w:docPartUnique/>
      </w:docPartObj>
    </w:sdtPr>
    <w:sdtContent>
      <w:p w:rsidR="001062CA" w:rsidRDefault="0096360E">
        <w:pPr>
          <w:pStyle w:val="Footer"/>
          <w:jc w:val="right"/>
        </w:pPr>
        <w:r>
          <w:fldChar w:fldCharType="begin"/>
        </w:r>
        <w:r w:rsidR="00DE7987">
          <w:instrText xml:space="preserve"> PAGE   \* MERGEFORMAT </w:instrText>
        </w:r>
        <w:r>
          <w:fldChar w:fldCharType="separate"/>
        </w:r>
        <w:r w:rsidR="007E7A51">
          <w:rPr>
            <w:noProof/>
          </w:rPr>
          <w:t>1</w:t>
        </w:r>
        <w:r>
          <w:rPr>
            <w:noProof/>
          </w:rPr>
          <w:fldChar w:fldCharType="end"/>
        </w:r>
      </w:p>
    </w:sdtContent>
  </w:sdt>
  <w:p w:rsidR="001062CA" w:rsidRDefault="001062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2CA" w:rsidRDefault="001062CA" w:rsidP="00896F46">
      <w:pPr>
        <w:spacing w:after="0" w:line="240" w:lineRule="auto"/>
      </w:pPr>
      <w:r>
        <w:separator/>
      </w:r>
    </w:p>
  </w:footnote>
  <w:footnote w:type="continuationSeparator" w:id="0">
    <w:p w:rsidR="001062CA" w:rsidRDefault="001062CA" w:rsidP="00896F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ABB"/>
    <w:multiLevelType w:val="hybridMultilevel"/>
    <w:tmpl w:val="E746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B2D8B"/>
    <w:multiLevelType w:val="hybridMultilevel"/>
    <w:tmpl w:val="F1E0B692"/>
    <w:lvl w:ilvl="0" w:tplc="1D362170">
      <w:start w:val="2"/>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B464B9"/>
    <w:multiLevelType w:val="hybridMultilevel"/>
    <w:tmpl w:val="E12CF678"/>
    <w:lvl w:ilvl="0" w:tplc="03807D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EF1470A"/>
    <w:multiLevelType w:val="hybridMultilevel"/>
    <w:tmpl w:val="9CD06DB8"/>
    <w:lvl w:ilvl="0" w:tplc="B75A6D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1B4A1D"/>
    <w:multiLevelType w:val="hybridMultilevel"/>
    <w:tmpl w:val="3C2E178C"/>
    <w:lvl w:ilvl="0" w:tplc="A718BD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697A43"/>
    <w:multiLevelType w:val="hybridMultilevel"/>
    <w:tmpl w:val="E12CF678"/>
    <w:lvl w:ilvl="0" w:tplc="03807D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a Fisher">
    <w15:presenceInfo w15:providerId="None" w15:userId="Nicola Fish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8072A"/>
    <w:rsid w:val="00004633"/>
    <w:rsid w:val="00015495"/>
    <w:rsid w:val="00020CC4"/>
    <w:rsid w:val="00055FA4"/>
    <w:rsid w:val="000C2942"/>
    <w:rsid w:val="000C74B4"/>
    <w:rsid w:val="000E13C7"/>
    <w:rsid w:val="000F639D"/>
    <w:rsid w:val="001062CA"/>
    <w:rsid w:val="00114C28"/>
    <w:rsid w:val="00171F5E"/>
    <w:rsid w:val="001A1B37"/>
    <w:rsid w:val="001D552C"/>
    <w:rsid w:val="002432FA"/>
    <w:rsid w:val="002F1667"/>
    <w:rsid w:val="002F5627"/>
    <w:rsid w:val="003078D1"/>
    <w:rsid w:val="00310340"/>
    <w:rsid w:val="003F44AF"/>
    <w:rsid w:val="0041356A"/>
    <w:rsid w:val="0046092A"/>
    <w:rsid w:val="004823AF"/>
    <w:rsid w:val="004B4A17"/>
    <w:rsid w:val="004D535E"/>
    <w:rsid w:val="004E138D"/>
    <w:rsid w:val="005101F2"/>
    <w:rsid w:val="005226F9"/>
    <w:rsid w:val="005722D7"/>
    <w:rsid w:val="005E1364"/>
    <w:rsid w:val="00667711"/>
    <w:rsid w:val="00672388"/>
    <w:rsid w:val="00674A71"/>
    <w:rsid w:val="0068072A"/>
    <w:rsid w:val="006D2E51"/>
    <w:rsid w:val="006D6A75"/>
    <w:rsid w:val="00713F73"/>
    <w:rsid w:val="007B68A8"/>
    <w:rsid w:val="007C7687"/>
    <w:rsid w:val="007E7A51"/>
    <w:rsid w:val="00823B03"/>
    <w:rsid w:val="00824C69"/>
    <w:rsid w:val="0086535E"/>
    <w:rsid w:val="00896F46"/>
    <w:rsid w:val="008C2E87"/>
    <w:rsid w:val="008C6E0C"/>
    <w:rsid w:val="008F56E3"/>
    <w:rsid w:val="00930EF8"/>
    <w:rsid w:val="0096360E"/>
    <w:rsid w:val="009817EA"/>
    <w:rsid w:val="009A5F36"/>
    <w:rsid w:val="00A30485"/>
    <w:rsid w:val="00A56E68"/>
    <w:rsid w:val="00A57082"/>
    <w:rsid w:val="00A9194F"/>
    <w:rsid w:val="00AA08BC"/>
    <w:rsid w:val="00AA504B"/>
    <w:rsid w:val="00AB739C"/>
    <w:rsid w:val="00AE2887"/>
    <w:rsid w:val="00B61326"/>
    <w:rsid w:val="00BB20F2"/>
    <w:rsid w:val="00BC6D4D"/>
    <w:rsid w:val="00C00A9A"/>
    <w:rsid w:val="00C14F52"/>
    <w:rsid w:val="00C305DD"/>
    <w:rsid w:val="00C347F3"/>
    <w:rsid w:val="00C4534E"/>
    <w:rsid w:val="00C6240F"/>
    <w:rsid w:val="00C9042B"/>
    <w:rsid w:val="00D01BD7"/>
    <w:rsid w:val="00D06C43"/>
    <w:rsid w:val="00D44F9A"/>
    <w:rsid w:val="00D4593E"/>
    <w:rsid w:val="00D52F4B"/>
    <w:rsid w:val="00D873C9"/>
    <w:rsid w:val="00DD6362"/>
    <w:rsid w:val="00DE7987"/>
    <w:rsid w:val="00E06A49"/>
    <w:rsid w:val="00E21CC4"/>
    <w:rsid w:val="00E252B3"/>
    <w:rsid w:val="00E36B17"/>
    <w:rsid w:val="00E43CF9"/>
    <w:rsid w:val="00E5780F"/>
    <w:rsid w:val="00E65E1A"/>
    <w:rsid w:val="00E76554"/>
    <w:rsid w:val="00EB3B96"/>
    <w:rsid w:val="00EE7953"/>
    <w:rsid w:val="00EF30BB"/>
    <w:rsid w:val="00F00D2C"/>
    <w:rsid w:val="00F54C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A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A49"/>
    <w:rPr>
      <w:color w:val="0000FF" w:themeColor="hyperlink"/>
      <w:u w:val="single"/>
    </w:rPr>
  </w:style>
  <w:style w:type="paragraph" w:styleId="ListParagraph">
    <w:name w:val="List Paragraph"/>
    <w:basedOn w:val="Normal"/>
    <w:uiPriority w:val="34"/>
    <w:qFormat/>
    <w:rsid w:val="00E06A49"/>
    <w:pPr>
      <w:ind w:left="720"/>
      <w:contextualSpacing/>
    </w:pPr>
  </w:style>
  <w:style w:type="paragraph" w:customStyle="1" w:styleId="Default">
    <w:name w:val="Default"/>
    <w:rsid w:val="00E06A4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3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5DD"/>
    <w:rPr>
      <w:rFonts w:ascii="Tahoma" w:hAnsi="Tahoma" w:cs="Tahoma"/>
      <w:sz w:val="16"/>
      <w:szCs w:val="16"/>
    </w:rPr>
  </w:style>
  <w:style w:type="paragraph" w:styleId="NormalWeb">
    <w:name w:val="Normal (Web)"/>
    <w:basedOn w:val="Normal"/>
    <w:uiPriority w:val="99"/>
    <w:semiHidden/>
    <w:unhideWhenUsed/>
    <w:rsid w:val="004D53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896F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6F46"/>
  </w:style>
  <w:style w:type="paragraph" w:styleId="Footer">
    <w:name w:val="footer"/>
    <w:basedOn w:val="Normal"/>
    <w:link w:val="FooterChar"/>
    <w:uiPriority w:val="99"/>
    <w:unhideWhenUsed/>
    <w:rsid w:val="00896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F46"/>
  </w:style>
  <w:style w:type="character" w:styleId="CommentReference">
    <w:name w:val="annotation reference"/>
    <w:basedOn w:val="DefaultParagraphFont"/>
    <w:uiPriority w:val="99"/>
    <w:semiHidden/>
    <w:unhideWhenUsed/>
    <w:rsid w:val="00BC6D4D"/>
    <w:rPr>
      <w:sz w:val="16"/>
      <w:szCs w:val="16"/>
    </w:rPr>
  </w:style>
  <w:style w:type="paragraph" w:styleId="CommentText">
    <w:name w:val="annotation text"/>
    <w:basedOn w:val="Normal"/>
    <w:link w:val="CommentTextChar"/>
    <w:uiPriority w:val="99"/>
    <w:semiHidden/>
    <w:unhideWhenUsed/>
    <w:rsid w:val="00BC6D4D"/>
    <w:pPr>
      <w:spacing w:line="240" w:lineRule="auto"/>
    </w:pPr>
    <w:rPr>
      <w:sz w:val="20"/>
      <w:szCs w:val="20"/>
    </w:rPr>
  </w:style>
  <w:style w:type="character" w:customStyle="1" w:styleId="CommentTextChar">
    <w:name w:val="Comment Text Char"/>
    <w:basedOn w:val="DefaultParagraphFont"/>
    <w:link w:val="CommentText"/>
    <w:uiPriority w:val="99"/>
    <w:semiHidden/>
    <w:rsid w:val="00BC6D4D"/>
    <w:rPr>
      <w:sz w:val="20"/>
      <w:szCs w:val="20"/>
    </w:rPr>
  </w:style>
  <w:style w:type="paragraph" w:styleId="CommentSubject">
    <w:name w:val="annotation subject"/>
    <w:basedOn w:val="CommentText"/>
    <w:next w:val="CommentText"/>
    <w:link w:val="CommentSubjectChar"/>
    <w:uiPriority w:val="99"/>
    <w:semiHidden/>
    <w:unhideWhenUsed/>
    <w:rsid w:val="00BC6D4D"/>
    <w:rPr>
      <w:b/>
      <w:bCs/>
    </w:rPr>
  </w:style>
  <w:style w:type="character" w:customStyle="1" w:styleId="CommentSubjectChar">
    <w:name w:val="Comment Subject Char"/>
    <w:basedOn w:val="CommentTextChar"/>
    <w:link w:val="CommentSubject"/>
    <w:uiPriority w:val="99"/>
    <w:semiHidden/>
    <w:rsid w:val="00BC6D4D"/>
    <w:rPr>
      <w:b/>
      <w:bCs/>
      <w:sz w:val="20"/>
      <w:szCs w:val="20"/>
    </w:rPr>
  </w:style>
  <w:style w:type="character" w:styleId="FollowedHyperlink">
    <w:name w:val="FollowedHyperlink"/>
    <w:basedOn w:val="DefaultParagraphFont"/>
    <w:uiPriority w:val="99"/>
    <w:semiHidden/>
    <w:unhideWhenUsed/>
    <w:rsid w:val="007C7687"/>
    <w:rPr>
      <w:color w:val="800080" w:themeColor="followedHyperlink"/>
      <w:u w:val="single"/>
    </w:rPr>
  </w:style>
  <w:style w:type="table" w:styleId="TableGrid">
    <w:name w:val="Table Grid"/>
    <w:basedOn w:val="TableNormal"/>
    <w:uiPriority w:val="59"/>
    <w:rsid w:val="000C2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4195252">
      <w:bodyDiv w:val="1"/>
      <w:marLeft w:val="0"/>
      <w:marRight w:val="0"/>
      <w:marTop w:val="0"/>
      <w:marBottom w:val="0"/>
      <w:divBdr>
        <w:top w:val="none" w:sz="0" w:space="0" w:color="auto"/>
        <w:left w:val="none" w:sz="0" w:space="0" w:color="auto"/>
        <w:bottom w:val="none" w:sz="0" w:space="0" w:color="auto"/>
        <w:right w:val="none" w:sz="0" w:space="0" w:color="auto"/>
      </w:divBdr>
    </w:div>
    <w:div w:id="65171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mailto:Helen.Irwin@infrastructure-ni.gov.uk"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556937\RECORDS-NI_7.1.2\Offline%20Records%20(RN)\Road%20safety%20-%20Road%20~%20Statistics%20&amp;%20Research%20Management%20DfI%20-%20Projects\RSS%20Motorcyclists%20-%20Travel%20survey%20CIs%20by%20year.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R-CLUS-VFPDRD\DRD_CENTRAL_SRB\ASB%20-%20DOE\DOE%20Road%20Safety\Helen\Motorcycle%20Travel%20Survey%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556937\RECORDS-NI_7.1.2\Offline%20Records%20(RN)\Road%20safety%20-%20Road%20~%20Statistics%20&amp;%20Research%20Management%20DfI%20-%20Projects\RSS2020%20-%20Travel%20survey%20cycling%20CIs.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PR-CLUS-VFPDRD\DRD_CENTRAL_SRB\ASB%20-%20DOE\DOE%20Road%20Safety\Helen\Rate%20of%20Cyclist%20KSIs%20per%201000%20population%20that%20have%20cycled%20in%20the%20last%2012%20months.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1556937\RECORDS-NI_7.1.2\Offline%20Records%20(RN)\Road%20~%20&amp;%20Research%20Management%20DfI%20-%20Statistical%20&amp;%20Research%20Series\northern-ireland-road-safety-strategy-to-2020-annual-statistical-report-2%20~%20tab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10675152382811658"/>
          <c:y val="5.1400554097404488E-2"/>
          <c:w val="0.88587752977158851"/>
          <c:h val="0.79433617672790846"/>
        </c:manualLayout>
      </c:layout>
      <c:lineChart>
        <c:grouping val="standard"/>
        <c:ser>
          <c:idx val="0"/>
          <c:order val="0"/>
          <c:spPr>
            <a:ln>
              <a:solidFill>
                <a:srgbClr val="FF0000"/>
              </a:solidFill>
            </a:ln>
          </c:spPr>
          <c:marker>
            <c:spPr>
              <a:solidFill>
                <a:srgbClr val="FF0000"/>
              </a:solidFill>
            </c:spPr>
          </c:marker>
          <c:dPt>
            <c:idx val="0"/>
            <c:marker>
              <c:symbol val="diamond"/>
              <c:size val="7"/>
            </c:marker>
          </c:dPt>
          <c:errBars>
            <c:errDir val="y"/>
            <c:errBarType val="both"/>
            <c:errValType val="cust"/>
            <c:plus>
              <c:numRef>
                <c:f>'5years'!$C$45:$J$45</c:f>
                <c:numCache>
                  <c:formatCode>General</c:formatCode>
                  <c:ptCount val="8"/>
                  <c:pt idx="0">
                    <c:v>149.43515558504262</c:v>
                  </c:pt>
                  <c:pt idx="1">
                    <c:v>175.85943118689281</c:v>
                  </c:pt>
                  <c:pt idx="2">
                    <c:v>264.99490498785065</c:v>
                  </c:pt>
                  <c:pt idx="3">
                    <c:v>280.31804581310888</c:v>
                  </c:pt>
                  <c:pt idx="4">
                    <c:v>268.61623825368906</c:v>
                  </c:pt>
                  <c:pt idx="5">
                    <c:v>304.75387913356252</c:v>
                  </c:pt>
                  <c:pt idx="6">
                    <c:v>425.48473314242784</c:v>
                  </c:pt>
                  <c:pt idx="7">
                    <c:v>318.27348005769369</c:v>
                  </c:pt>
                </c:numCache>
              </c:numRef>
            </c:plus>
            <c:minus>
              <c:numRef>
                <c:f>'5years'!$C$34:$J$34</c:f>
                <c:numCache>
                  <c:formatCode>General</c:formatCode>
                  <c:ptCount val="8"/>
                  <c:pt idx="0">
                    <c:v>68.281839525863234</c:v>
                  </c:pt>
                  <c:pt idx="1">
                    <c:v>78.803168124405559</c:v>
                  </c:pt>
                  <c:pt idx="2">
                    <c:v>110.62170383087465</c:v>
                  </c:pt>
                  <c:pt idx="3">
                    <c:v>116.7542285402788</c:v>
                  </c:pt>
                  <c:pt idx="4">
                    <c:v>109.39176943140166</c:v>
                  </c:pt>
                  <c:pt idx="5">
                    <c:v>117.08721848213223</c:v>
                  </c:pt>
                  <c:pt idx="6">
                    <c:v>129.49476257207996</c:v>
                  </c:pt>
                  <c:pt idx="7">
                    <c:v>99.136462217271458</c:v>
                  </c:pt>
                </c:numCache>
              </c:numRef>
            </c:minus>
          </c:errBars>
          <c:cat>
            <c:strRef>
              <c:f>'5years'!$C$15:$J$15</c:f>
              <c:strCache>
                <c:ptCount val="8"/>
                <c:pt idx="0">
                  <c:v>2004-2008</c:v>
                </c:pt>
                <c:pt idx="1">
                  <c:v>2005-2009</c:v>
                </c:pt>
                <c:pt idx="2">
                  <c:v>2006-2010</c:v>
                </c:pt>
                <c:pt idx="3">
                  <c:v>2007-2011</c:v>
                </c:pt>
                <c:pt idx="4">
                  <c:v>2008-2012</c:v>
                </c:pt>
                <c:pt idx="5">
                  <c:v>2009-2013</c:v>
                </c:pt>
                <c:pt idx="6">
                  <c:v>2010-2014</c:v>
                </c:pt>
                <c:pt idx="7">
                  <c:v>2011-2015</c:v>
                </c:pt>
              </c:strCache>
            </c:strRef>
          </c:cat>
          <c:val>
            <c:numRef>
              <c:f>'5years'!$C$22:$J$22</c:f>
              <c:numCache>
                <c:formatCode>0</c:formatCode>
                <c:ptCount val="8"/>
                <c:pt idx="0">
                  <c:v>251.46741522526156</c:v>
                </c:pt>
                <c:pt idx="1">
                  <c:v>285.57209776685426</c:v>
                </c:pt>
                <c:pt idx="2">
                  <c:v>379.78337789922961</c:v>
                </c:pt>
                <c:pt idx="3">
                  <c:v>400.19018546425929</c:v>
                </c:pt>
                <c:pt idx="4">
                  <c:v>369.09409487023453</c:v>
                </c:pt>
                <c:pt idx="5">
                  <c:v>380.27834997997348</c:v>
                </c:pt>
                <c:pt idx="6">
                  <c:v>372.29669904121488</c:v>
                </c:pt>
                <c:pt idx="7">
                  <c:v>287.97057787357386</c:v>
                </c:pt>
              </c:numCache>
            </c:numRef>
          </c:val>
        </c:ser>
        <c:marker val="1"/>
        <c:axId val="60113664"/>
        <c:axId val="82033280"/>
      </c:lineChart>
      <c:catAx>
        <c:axId val="60113664"/>
        <c:scaling>
          <c:orientation val="minMax"/>
        </c:scaling>
        <c:axPos val="b"/>
        <c:numFmt formatCode="General" sourceLinked="0"/>
        <c:tickLblPos val="nextTo"/>
        <c:crossAx val="82033280"/>
        <c:crosses val="autoZero"/>
        <c:auto val="1"/>
        <c:lblAlgn val="ctr"/>
        <c:lblOffset val="100"/>
      </c:catAx>
      <c:valAx>
        <c:axId val="82033280"/>
        <c:scaling>
          <c:orientation val="minMax"/>
        </c:scaling>
        <c:axPos val="l"/>
        <c:title>
          <c:tx>
            <c:rich>
              <a:bodyPr rot="-5400000" vert="horz"/>
              <a:lstStyle/>
              <a:p>
                <a:pPr>
                  <a:defRPr/>
                </a:pPr>
                <a:r>
                  <a:rPr lang="en-GB"/>
                  <a:t>Motorcycle KSIs per 100million KMs</a:t>
                </a:r>
              </a:p>
            </c:rich>
          </c:tx>
          <c:layout>
            <c:manualLayout>
              <c:xMode val="edge"/>
              <c:yMode val="edge"/>
              <c:x val="2.7777777777777861E-3"/>
              <c:y val="0.13440179352580944"/>
            </c:manualLayout>
          </c:layout>
        </c:title>
        <c:numFmt formatCode="0" sourceLinked="1"/>
        <c:tickLblPos val="nextTo"/>
        <c:crossAx val="6011366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0.12925182105045857"/>
          <c:y val="6.528944298629337E-2"/>
          <c:w val="0.86797035202060491"/>
          <c:h val="0.78507691746864972"/>
        </c:manualLayout>
      </c:layout>
      <c:lineChart>
        <c:grouping val="standard"/>
        <c:ser>
          <c:idx val="0"/>
          <c:order val="0"/>
          <c:spPr>
            <a:ln>
              <a:solidFill>
                <a:srgbClr val="FF0000"/>
              </a:solidFill>
            </a:ln>
          </c:spPr>
          <c:marker>
            <c:symbol val="none"/>
          </c:marker>
          <c:cat>
            <c:strRef>
              <c:f>Check!$B$23:$B$30</c:f>
              <c:strCache>
                <c:ptCount val="8"/>
                <c:pt idx="0">
                  <c:v>2004-2008</c:v>
                </c:pt>
                <c:pt idx="1">
                  <c:v>2009</c:v>
                </c:pt>
                <c:pt idx="2">
                  <c:v>2010</c:v>
                </c:pt>
                <c:pt idx="3">
                  <c:v>2011</c:v>
                </c:pt>
                <c:pt idx="4">
                  <c:v>2012</c:v>
                </c:pt>
                <c:pt idx="5">
                  <c:v>2013</c:v>
                </c:pt>
                <c:pt idx="6">
                  <c:v>2014</c:v>
                </c:pt>
                <c:pt idx="7">
                  <c:v>2015</c:v>
                </c:pt>
              </c:strCache>
            </c:strRef>
          </c:cat>
          <c:val>
            <c:numRef>
              <c:f>Check!$E$23:$E$30</c:f>
              <c:numCache>
                <c:formatCode>0.0</c:formatCode>
                <c:ptCount val="8"/>
                <c:pt idx="0">
                  <c:v>5.0898103072016116</c:v>
                </c:pt>
                <c:pt idx="1">
                  <c:v>4.9428681473873413</c:v>
                </c:pt>
                <c:pt idx="2">
                  <c:v>3.9998666711109627</c:v>
                </c:pt>
                <c:pt idx="3">
                  <c:v>3.7846930193439872</c:v>
                </c:pt>
                <c:pt idx="4">
                  <c:v>3.7039780724498121</c:v>
                </c:pt>
                <c:pt idx="5">
                  <c:v>4.1486958307660684</c:v>
                </c:pt>
                <c:pt idx="6">
                  <c:v>4.0342705040758604</c:v>
                </c:pt>
                <c:pt idx="7">
                  <c:v>3.6769651585130707</c:v>
                </c:pt>
              </c:numCache>
            </c:numRef>
          </c:val>
        </c:ser>
        <c:ser>
          <c:idx val="1"/>
          <c:order val="1"/>
          <c:tx>
            <c:v>baseline</c:v>
          </c:tx>
          <c:spPr>
            <a:ln>
              <a:solidFill>
                <a:srgbClr val="0070C0"/>
              </a:solidFill>
              <a:prstDash val="dash"/>
            </a:ln>
          </c:spPr>
          <c:marker>
            <c:symbol val="none"/>
          </c:marker>
          <c:val>
            <c:numRef>
              <c:f>Check!$F$23:$F$30</c:f>
              <c:numCache>
                <c:formatCode>General</c:formatCode>
                <c:ptCount val="8"/>
                <c:pt idx="0">
                  <c:v>5.0999999999999996</c:v>
                </c:pt>
                <c:pt idx="1">
                  <c:v>5.0999999999999996</c:v>
                </c:pt>
                <c:pt idx="2">
                  <c:v>5.0999999999999996</c:v>
                </c:pt>
                <c:pt idx="3">
                  <c:v>5.0999999999999996</c:v>
                </c:pt>
                <c:pt idx="4">
                  <c:v>5.0999999999999996</c:v>
                </c:pt>
                <c:pt idx="5">
                  <c:v>5.0999999999999996</c:v>
                </c:pt>
                <c:pt idx="6">
                  <c:v>5.0999999999999996</c:v>
                </c:pt>
                <c:pt idx="7">
                  <c:v>5.0999999999999996</c:v>
                </c:pt>
              </c:numCache>
            </c:numRef>
          </c:val>
        </c:ser>
        <c:marker val="1"/>
        <c:axId val="103648256"/>
        <c:axId val="104547072"/>
      </c:lineChart>
      <c:catAx>
        <c:axId val="103648256"/>
        <c:scaling>
          <c:orientation val="minMax"/>
        </c:scaling>
        <c:axPos val="b"/>
        <c:numFmt formatCode="General" sourceLinked="0"/>
        <c:tickLblPos val="nextTo"/>
        <c:crossAx val="104547072"/>
        <c:crosses val="autoZero"/>
        <c:auto val="1"/>
        <c:lblAlgn val="ctr"/>
        <c:lblOffset val="100"/>
      </c:catAx>
      <c:valAx>
        <c:axId val="104547072"/>
        <c:scaling>
          <c:orientation val="minMax"/>
        </c:scaling>
        <c:axPos val="l"/>
        <c:title>
          <c:tx>
            <c:rich>
              <a:bodyPr rot="-5400000" vert="horz"/>
              <a:lstStyle/>
              <a:p>
                <a:pPr>
                  <a:defRPr b="0"/>
                </a:pPr>
                <a:r>
                  <a:rPr lang="en-GB" sz="900" b="1" i="0" baseline="0"/>
                  <a:t>Motorcyclist KSIs per 1000 motorcycle vehicles</a:t>
                </a:r>
                <a:endParaRPr lang="en-GB" sz="900" b="1"/>
              </a:p>
            </c:rich>
          </c:tx>
          <c:layout>
            <c:manualLayout>
              <c:xMode val="edge"/>
              <c:yMode val="edge"/>
              <c:x val="8.9335566722501449E-3"/>
              <c:y val="4.2580270351581573E-2"/>
            </c:manualLayout>
          </c:layout>
        </c:title>
        <c:numFmt formatCode="0.0" sourceLinked="1"/>
        <c:tickLblPos val="nextTo"/>
        <c:crossAx val="103648256"/>
        <c:crosses val="autoZero"/>
        <c:crossBetween val="between"/>
      </c:valAx>
    </c:plotArea>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8.5195250521345731E-2"/>
          <c:y val="5.1400554097404488E-2"/>
          <c:w val="0.89148731828844352"/>
          <c:h val="0.8326195683872849"/>
        </c:manualLayout>
      </c:layout>
      <c:lineChart>
        <c:grouping val="standard"/>
        <c:ser>
          <c:idx val="0"/>
          <c:order val="0"/>
          <c:spPr>
            <a:ln>
              <a:solidFill>
                <a:srgbClr val="FF0000"/>
              </a:solidFill>
            </a:ln>
          </c:spPr>
          <c:marker>
            <c:spPr>
              <a:solidFill>
                <a:srgbClr val="FF0000"/>
              </a:solidFill>
            </c:spPr>
          </c:marker>
          <c:errBars>
            <c:errDir val="y"/>
            <c:errBarType val="both"/>
            <c:errValType val="cust"/>
            <c:plus>
              <c:numRef>
                <c:f>'5years'!$C$45:$J$45</c:f>
                <c:numCache>
                  <c:formatCode>General</c:formatCode>
                  <c:ptCount val="8"/>
                  <c:pt idx="0">
                    <c:v>21.448992691919834</c:v>
                  </c:pt>
                  <c:pt idx="1">
                    <c:v>19.346913542710553</c:v>
                  </c:pt>
                  <c:pt idx="2">
                    <c:v>18.363872313008244</c:v>
                  </c:pt>
                  <c:pt idx="3">
                    <c:v>17.00617019091953</c:v>
                  </c:pt>
                  <c:pt idx="4">
                    <c:v>15.441719870788809</c:v>
                  </c:pt>
                  <c:pt idx="5">
                    <c:v>15.712914379518347</c:v>
                  </c:pt>
                  <c:pt idx="6">
                    <c:v>16.729279226934946</c:v>
                  </c:pt>
                  <c:pt idx="7">
                    <c:v>15.902182480854202</c:v>
                  </c:pt>
                </c:numCache>
              </c:numRef>
            </c:plus>
            <c:minus>
              <c:numRef>
                <c:f>'5years'!$C$34:$J$34</c:f>
                <c:numCache>
                  <c:formatCode>General</c:formatCode>
                  <c:ptCount val="8"/>
                  <c:pt idx="0">
                    <c:v>12.427664216493353</c:v>
                  </c:pt>
                  <c:pt idx="1">
                    <c:v>11.791292701417998</c:v>
                  </c:pt>
                  <c:pt idx="2">
                    <c:v>11.738029716893218</c:v>
                  </c:pt>
                  <c:pt idx="3">
                    <c:v>11.026573528691017</c:v>
                  </c:pt>
                  <c:pt idx="4">
                    <c:v>10.381205350932738</c:v>
                  </c:pt>
                  <c:pt idx="5">
                    <c:v>10.55606596219264</c:v>
                  </c:pt>
                  <c:pt idx="6">
                    <c:v>11.297786650718066</c:v>
                  </c:pt>
                  <c:pt idx="7">
                    <c:v>10.448527122321833</c:v>
                  </c:pt>
                </c:numCache>
              </c:numRef>
            </c:minus>
          </c:errBars>
          <c:cat>
            <c:strRef>
              <c:f>'5years'!$C$15:$J$15</c:f>
              <c:strCache>
                <c:ptCount val="8"/>
                <c:pt idx="0">
                  <c:v>2004-2008</c:v>
                </c:pt>
                <c:pt idx="1">
                  <c:v>2005-2009</c:v>
                </c:pt>
                <c:pt idx="2">
                  <c:v>2006-2010</c:v>
                </c:pt>
                <c:pt idx="3">
                  <c:v>2007-2011</c:v>
                </c:pt>
                <c:pt idx="4">
                  <c:v>2008-2012</c:v>
                </c:pt>
                <c:pt idx="5">
                  <c:v>2009-2013</c:v>
                </c:pt>
                <c:pt idx="6">
                  <c:v>2010-2014</c:v>
                </c:pt>
                <c:pt idx="7">
                  <c:v>2011-2015</c:v>
                </c:pt>
              </c:strCache>
            </c:strRef>
          </c:cat>
          <c:val>
            <c:numRef>
              <c:f>'5years'!$C$22:$J$22</c:f>
              <c:numCache>
                <c:formatCode>0</c:formatCode>
                <c:ptCount val="8"/>
                <c:pt idx="0">
                  <c:v>59.095704071366754</c:v>
                </c:pt>
                <c:pt idx="1">
                  <c:v>60.385539518974269</c:v>
                </c:pt>
                <c:pt idx="2">
                  <c:v>65.065137241175037</c:v>
                </c:pt>
                <c:pt idx="3">
                  <c:v>62.719877825914075</c:v>
                </c:pt>
                <c:pt idx="4">
                  <c:v>63.354690247898745</c:v>
                </c:pt>
                <c:pt idx="5">
                  <c:v>64.328654722993619</c:v>
                </c:pt>
                <c:pt idx="6">
                  <c:v>69.595539301222871</c:v>
                </c:pt>
                <c:pt idx="7">
                  <c:v>60.933217826229011</c:v>
                </c:pt>
              </c:numCache>
            </c:numRef>
          </c:val>
        </c:ser>
        <c:marker val="1"/>
        <c:axId val="105220352"/>
        <c:axId val="105953920"/>
      </c:lineChart>
      <c:catAx>
        <c:axId val="105220352"/>
        <c:scaling>
          <c:orientation val="minMax"/>
        </c:scaling>
        <c:axPos val="b"/>
        <c:numFmt formatCode="General" sourceLinked="0"/>
        <c:tickLblPos val="nextTo"/>
        <c:crossAx val="105953920"/>
        <c:crosses val="autoZero"/>
        <c:auto val="1"/>
        <c:lblAlgn val="ctr"/>
        <c:lblOffset val="100"/>
      </c:catAx>
      <c:valAx>
        <c:axId val="105953920"/>
        <c:scaling>
          <c:orientation val="minMax"/>
        </c:scaling>
        <c:axPos val="l"/>
        <c:title>
          <c:tx>
            <c:rich>
              <a:bodyPr rot="-5400000" vert="horz"/>
              <a:lstStyle/>
              <a:p>
                <a:pPr>
                  <a:defRPr/>
                </a:pPr>
                <a:r>
                  <a:rPr lang="en-GB" sz="800"/>
                  <a:t>Pedal</a:t>
                </a:r>
                <a:r>
                  <a:rPr lang="en-GB" sz="800" baseline="0"/>
                  <a:t> Cyclist</a:t>
                </a:r>
                <a:r>
                  <a:rPr lang="en-GB" sz="800"/>
                  <a:t> KSIs per 100million KMs</a:t>
                </a:r>
                <a:r>
                  <a:rPr lang="en-GB" sz="800" baseline="0"/>
                  <a:t> cycled</a:t>
                </a:r>
                <a:endParaRPr lang="en-GB" sz="800"/>
              </a:p>
            </c:rich>
          </c:tx>
          <c:layout>
            <c:manualLayout>
              <c:xMode val="edge"/>
              <c:yMode val="edge"/>
              <c:x val="5.1225593255529523E-4"/>
              <c:y val="0.13440195877832409"/>
            </c:manualLayout>
          </c:layout>
        </c:title>
        <c:numFmt formatCode="0" sourceLinked="1"/>
        <c:tickLblPos val="nextTo"/>
        <c:crossAx val="105220352"/>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plotArea>
      <c:layout>
        <c:manualLayout>
          <c:layoutTarget val="inner"/>
          <c:xMode val="edge"/>
          <c:yMode val="edge"/>
          <c:x val="0.11651842210394731"/>
          <c:y val="5.1400554097404488E-2"/>
          <c:w val="0.85292592926702493"/>
          <c:h val="0.79433617672790857"/>
        </c:manualLayout>
      </c:layout>
      <c:lineChart>
        <c:grouping val="standard"/>
        <c:ser>
          <c:idx val="0"/>
          <c:order val="0"/>
          <c:spPr>
            <a:ln>
              <a:solidFill>
                <a:srgbClr val="FF0000"/>
              </a:solidFill>
            </a:ln>
          </c:spPr>
          <c:marker>
            <c:symbol val="none"/>
          </c:marker>
          <c:errBars>
            <c:errDir val="y"/>
            <c:errBarType val="both"/>
            <c:errValType val="cust"/>
            <c:plus>
              <c:numRef>
                <c:f>Sheet2!$B$33:$L$33</c:f>
                <c:numCache>
                  <c:formatCode>General</c:formatCode>
                  <c:ptCount val="11"/>
                  <c:pt idx="0">
                    <c:v>0.2778537503480748</c:v>
                  </c:pt>
                  <c:pt idx="1">
                    <c:v>0.2587528266098138</c:v>
                  </c:pt>
                  <c:pt idx="2">
                    <c:v>0.24212053313557913</c:v>
                  </c:pt>
                  <c:pt idx="3">
                    <c:v>0.25418617503857821</c:v>
                  </c:pt>
                  <c:pt idx="4">
                    <c:v>0.38674253961762706</c:v>
                  </c:pt>
                  <c:pt idx="5">
                    <c:v>0.35724065359443635</c:v>
                  </c:pt>
                  <c:pt idx="6">
                    <c:v>0.41344274891138078</c:v>
                  </c:pt>
                  <c:pt idx="7">
                    <c:v>0.35812521295312472</c:v>
                  </c:pt>
                  <c:pt idx="8">
                    <c:v>0.51825438215426256</c:v>
                  </c:pt>
                  <c:pt idx="9">
                    <c:v>0.36004488319513872</c:v>
                  </c:pt>
                  <c:pt idx="10">
                    <c:v>0.57281857707927153</c:v>
                  </c:pt>
                </c:numCache>
              </c:numRef>
            </c:plus>
            <c:minus>
              <c:numRef>
                <c:f>Sheet2!$B$24:$L$24</c:f>
                <c:numCache>
                  <c:formatCode>General</c:formatCode>
                  <c:ptCount val="11"/>
                  <c:pt idx="0">
                    <c:v>0.2580070538946419</c:v>
                  </c:pt>
                  <c:pt idx="1">
                    <c:v>0.24027048185196886</c:v>
                  </c:pt>
                  <c:pt idx="2">
                    <c:v>0.22418567882923932</c:v>
                  </c:pt>
                  <c:pt idx="3">
                    <c:v>0.2360300196786777</c:v>
                  </c:pt>
                  <c:pt idx="4">
                    <c:v>0.35911807250207961</c:v>
                  </c:pt>
                  <c:pt idx="5">
                    <c:v>0.33260336713964767</c:v>
                  </c:pt>
                  <c:pt idx="6">
                    <c:v>0.38492945588300936</c:v>
                  </c:pt>
                  <c:pt idx="7">
                    <c:v>0.33254484059933098</c:v>
                  </c:pt>
                  <c:pt idx="8">
                    <c:v>0.47986516866135365</c:v>
                  </c:pt>
                  <c:pt idx="9">
                    <c:v>0.33234912294935992</c:v>
                  </c:pt>
                  <c:pt idx="10">
                    <c:v>0.52875560961163792</c:v>
                  </c:pt>
                </c:numCache>
              </c:numRef>
            </c:minus>
          </c:errBars>
          <c:cat>
            <c:numRef>
              <c:f>Sheet2!$P$25:$Y$25</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Sheet2!$B$15:$K$15</c:f>
              <c:numCache>
                <c:formatCode>General</c:formatCode>
                <c:ptCount val="10"/>
                <c:pt idx="0">
                  <c:v>7.2241975090499508</c:v>
                </c:pt>
                <c:pt idx="1">
                  <c:v>6.7275734918551464</c:v>
                </c:pt>
                <c:pt idx="2">
                  <c:v>6.0530133283894605</c:v>
                </c:pt>
                <c:pt idx="3">
                  <c:v>6.6088405510029897</c:v>
                </c:pt>
                <c:pt idx="4">
                  <c:v>10.05530603005827</c:v>
                </c:pt>
                <c:pt idx="5">
                  <c:v>9.6454976470497478</c:v>
                </c:pt>
                <c:pt idx="6">
                  <c:v>11.162954220607242</c:v>
                </c:pt>
                <c:pt idx="7">
                  <c:v>9.3112555367812337</c:v>
                </c:pt>
                <c:pt idx="8">
                  <c:v>12.956359553856538</c:v>
                </c:pt>
                <c:pt idx="9">
                  <c:v>8.6410771966833355</c:v>
                </c:pt>
              </c:numCache>
            </c:numRef>
          </c:val>
        </c:ser>
        <c:ser>
          <c:idx val="1"/>
          <c:order val="1"/>
          <c:tx>
            <c:v>2004-2008 Baseline (6.5)</c:v>
          </c:tx>
          <c:spPr>
            <a:ln>
              <a:solidFill>
                <a:srgbClr val="0070C0"/>
              </a:solidFill>
              <a:prstDash val="dash"/>
            </a:ln>
          </c:spPr>
          <c:marker>
            <c:symbol val="none"/>
          </c:marker>
          <c:errBars>
            <c:errDir val="y"/>
            <c:errBarType val="both"/>
            <c:errValType val="cust"/>
            <c:plus>
              <c:numRef>
                <c:f>Sheet2!$B$34:$L$34</c:f>
                <c:numCache>
                  <c:formatCode>General</c:formatCode>
                  <c:ptCount val="11"/>
                  <c:pt idx="0">
                    <c:v>0.25450947970491733</c:v>
                  </c:pt>
                  <c:pt idx="1">
                    <c:v>0.25450947970491733</c:v>
                  </c:pt>
                  <c:pt idx="2">
                    <c:v>0.25450947970491733</c:v>
                  </c:pt>
                  <c:pt idx="3">
                    <c:v>0.25450947970491733</c:v>
                  </c:pt>
                  <c:pt idx="4">
                    <c:v>0.25450947970491733</c:v>
                  </c:pt>
                  <c:pt idx="5">
                    <c:v>0.25450947970491733</c:v>
                  </c:pt>
                  <c:pt idx="6">
                    <c:v>0.25450947970491733</c:v>
                  </c:pt>
                  <c:pt idx="7">
                    <c:v>0.25450947970491733</c:v>
                  </c:pt>
                  <c:pt idx="8">
                    <c:v>0.25450947970491733</c:v>
                  </c:pt>
                  <c:pt idx="9">
                    <c:v>0.25450947970491733</c:v>
                  </c:pt>
                  <c:pt idx="10">
                    <c:v>0.25450947970491733</c:v>
                  </c:pt>
                </c:numCache>
              </c:numRef>
            </c:plus>
            <c:minus>
              <c:numRef>
                <c:f>Sheet2!$B$25:$L$25</c:f>
                <c:numCache>
                  <c:formatCode>General</c:formatCode>
                  <c:ptCount val="11"/>
                  <c:pt idx="0">
                    <c:v>0.23611120406359642</c:v>
                  </c:pt>
                  <c:pt idx="1">
                    <c:v>0.23611120406359642</c:v>
                  </c:pt>
                  <c:pt idx="2">
                    <c:v>0.23611120406359642</c:v>
                  </c:pt>
                  <c:pt idx="3">
                    <c:v>0.23611120406359642</c:v>
                  </c:pt>
                  <c:pt idx="4">
                    <c:v>0.23611120406359642</c:v>
                  </c:pt>
                  <c:pt idx="5">
                    <c:v>0.23611120406359642</c:v>
                  </c:pt>
                  <c:pt idx="6">
                    <c:v>0.23611120406359642</c:v>
                  </c:pt>
                  <c:pt idx="7">
                    <c:v>0.23611120406359642</c:v>
                  </c:pt>
                  <c:pt idx="8">
                    <c:v>0.23611120406359642</c:v>
                  </c:pt>
                  <c:pt idx="9">
                    <c:v>0.23611120406359642</c:v>
                  </c:pt>
                  <c:pt idx="10">
                    <c:v>0.23611120406359642</c:v>
                  </c:pt>
                </c:numCache>
              </c:numRef>
            </c:minus>
          </c:errBars>
          <c:cat>
            <c:numRef>
              <c:f>Sheet2!$P$25:$Y$25</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Sheet2!$B$16:$K$16</c:f>
              <c:numCache>
                <c:formatCode>General</c:formatCode>
                <c:ptCount val="10"/>
                <c:pt idx="0">
                  <c:v>6.5324099790928489</c:v>
                </c:pt>
                <c:pt idx="1">
                  <c:v>6.5324099790928489</c:v>
                </c:pt>
                <c:pt idx="2">
                  <c:v>6.5324099790928489</c:v>
                </c:pt>
                <c:pt idx="3">
                  <c:v>6.5324099790928489</c:v>
                </c:pt>
                <c:pt idx="4">
                  <c:v>6.5324099790928489</c:v>
                </c:pt>
                <c:pt idx="5">
                  <c:v>6.5324099790928489</c:v>
                </c:pt>
                <c:pt idx="6">
                  <c:v>6.5324099790928489</c:v>
                </c:pt>
                <c:pt idx="7">
                  <c:v>6.5324099790928489</c:v>
                </c:pt>
                <c:pt idx="8">
                  <c:v>6.5324099790928489</c:v>
                </c:pt>
                <c:pt idx="9">
                  <c:v>6.5324099790928489</c:v>
                </c:pt>
              </c:numCache>
            </c:numRef>
          </c:val>
        </c:ser>
        <c:marker val="1"/>
        <c:axId val="122349824"/>
        <c:axId val="127599360"/>
      </c:lineChart>
      <c:catAx>
        <c:axId val="122349824"/>
        <c:scaling>
          <c:orientation val="minMax"/>
        </c:scaling>
        <c:axPos val="b"/>
        <c:numFmt formatCode="General" sourceLinked="1"/>
        <c:tickLblPos val="nextTo"/>
        <c:crossAx val="127599360"/>
        <c:crosses val="autoZero"/>
        <c:auto val="1"/>
        <c:lblAlgn val="ctr"/>
        <c:lblOffset val="100"/>
      </c:catAx>
      <c:valAx>
        <c:axId val="127599360"/>
        <c:scaling>
          <c:orientation val="minMax"/>
        </c:scaling>
        <c:axPos val="l"/>
        <c:title>
          <c:tx>
            <c:rich>
              <a:bodyPr rot="-5400000" vert="horz"/>
              <a:lstStyle/>
              <a:p>
                <a:pPr>
                  <a:defRPr/>
                </a:pPr>
                <a:r>
                  <a:rPr lang="en-GB" sz="800"/>
                  <a:t>Pedal cyclist KSI per 100,000 people that have cycled</a:t>
                </a:r>
                <a:r>
                  <a:rPr lang="en-GB" sz="800" baseline="0"/>
                  <a:t> in the last 12 months</a:t>
                </a:r>
                <a:endParaRPr lang="en-GB" sz="800"/>
              </a:p>
            </c:rich>
          </c:tx>
          <c:layout>
            <c:manualLayout>
              <c:xMode val="edge"/>
              <c:yMode val="edge"/>
              <c:x val="2.7777777777777848E-3"/>
              <c:y val="6.5289442986293383E-2"/>
            </c:manualLayout>
          </c:layout>
        </c:title>
        <c:numFmt formatCode="General" sourceLinked="1"/>
        <c:tickLblPos val="nextTo"/>
        <c:crossAx val="122349824"/>
        <c:crosses val="autoZero"/>
        <c:crossBetween val="between"/>
      </c:valAx>
    </c:plotArea>
    <c:plotVisOnly val="1"/>
    <c:dispBlanksAs val="gap"/>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lang val="en-GB"/>
  <c:chart>
    <c:autoTitleDeleted val="1"/>
    <c:plotArea>
      <c:layout>
        <c:manualLayout>
          <c:layoutTarget val="inner"/>
          <c:xMode val="edge"/>
          <c:yMode val="edge"/>
          <c:x val="0.14131703772861071"/>
          <c:y val="2.879477524542404E-2"/>
          <c:w val="0.85076213390090927"/>
          <c:h val="0.79592349783767968"/>
        </c:manualLayout>
      </c:layout>
      <c:lineChart>
        <c:grouping val="standard"/>
        <c:ser>
          <c:idx val="0"/>
          <c:order val="0"/>
          <c:spPr>
            <a:ln w="31750">
              <a:solidFill>
                <a:srgbClr val="FF0000"/>
              </a:solidFill>
            </a:ln>
          </c:spPr>
          <c:marker>
            <c:symbol val="none"/>
          </c:marker>
          <c:cat>
            <c:numRef>
              <c:f>'Tables 5 &amp; 5a'!$B$6:$B$17</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'Tables 5 &amp; 5a'!$E$6:$E$17</c:f>
              <c:numCache>
                <c:formatCode>0.00</c:formatCode>
                <c:ptCount val="12"/>
                <c:pt idx="0">
                  <c:v>0.90942755697628253</c:v>
                </c:pt>
                <c:pt idx="1">
                  <c:v>0.81603943352853581</c:v>
                </c:pt>
                <c:pt idx="2">
                  <c:v>0.73720200768001765</c:v>
                </c:pt>
                <c:pt idx="3">
                  <c:v>0.66453180886897956</c:v>
                </c:pt>
                <c:pt idx="4">
                  <c:v>0.61955712401450369</c:v>
                </c:pt>
                <c:pt idx="5">
                  <c:v>0.6640256642384097</c:v>
                </c:pt>
                <c:pt idx="6">
                  <c:v>0.31692684952458489</c:v>
                </c:pt>
                <c:pt idx="7">
                  <c:v>0.34325332826507665</c:v>
                </c:pt>
                <c:pt idx="8">
                  <c:v>0.27853996186717939</c:v>
                </c:pt>
                <c:pt idx="9">
                  <c:v>0.32638624452403914</c:v>
                </c:pt>
                <c:pt idx="10">
                  <c:v>0.44774959166912903</c:v>
                </c:pt>
                <c:pt idx="11">
                  <c:v>0.42626390568263445</c:v>
                </c:pt>
              </c:numCache>
            </c:numRef>
          </c:val>
        </c:ser>
        <c:ser>
          <c:idx val="1"/>
          <c:order val="1"/>
          <c:spPr>
            <a:ln w="31750">
              <a:solidFill>
                <a:srgbClr val="0070C0"/>
              </a:solidFill>
              <a:prstDash val="sysDash"/>
            </a:ln>
          </c:spPr>
          <c:marker>
            <c:symbol val="none"/>
          </c:marker>
          <c:cat>
            <c:numRef>
              <c:f>'Tables 5 &amp; 5a'!$B$6:$B$17</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'Tables 5 &amp; 5a'!$G$6:$G$18</c:f>
              <c:numCache>
                <c:formatCode>0.00</c:formatCode>
                <c:ptCount val="13"/>
                <c:pt idx="0">
                  <c:v>0.74696244635983255</c:v>
                </c:pt>
                <c:pt idx="1">
                  <c:v>0.74696244635983255</c:v>
                </c:pt>
                <c:pt idx="2">
                  <c:v>0.74696244635983255</c:v>
                </c:pt>
                <c:pt idx="3">
                  <c:v>0.74696244635983255</c:v>
                </c:pt>
                <c:pt idx="4">
                  <c:v>0.74696244635983255</c:v>
                </c:pt>
                <c:pt idx="5">
                  <c:v>0.74696244635983255</c:v>
                </c:pt>
                <c:pt idx="6">
                  <c:v>0.74696244635983255</c:v>
                </c:pt>
                <c:pt idx="7">
                  <c:v>0.74696244635983255</c:v>
                </c:pt>
                <c:pt idx="8">
                  <c:v>0.74696244635983255</c:v>
                </c:pt>
                <c:pt idx="9">
                  <c:v>0.74696244635983255</c:v>
                </c:pt>
                <c:pt idx="10">
                  <c:v>0.74696244635983255</c:v>
                </c:pt>
                <c:pt idx="11">
                  <c:v>0.74696244635983255</c:v>
                </c:pt>
                <c:pt idx="12">
                  <c:v>0.74696244635983255</c:v>
                </c:pt>
              </c:numCache>
            </c:numRef>
          </c:val>
        </c:ser>
        <c:ser>
          <c:idx val="2"/>
          <c:order val="2"/>
          <c:marker>
            <c:symbol val="none"/>
          </c:marker>
          <c:cat>
            <c:numRef>
              <c:f>'Tables 5 &amp; 5a'!$B$6:$B$17</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'Tables 5 &amp; 5a'!$F$6:$F$17</c:f>
              <c:numCache>
                <c:formatCode>0.00</c:formatCode>
                <c:ptCount val="12"/>
                <c:pt idx="0">
                  <c:v>0.77979948013368383</c:v>
                </c:pt>
                <c:pt idx="1">
                  <c:v>0.70966724491405142</c:v>
                </c:pt>
                <c:pt idx="2">
                  <c:v>0.64976922878581</c:v>
                </c:pt>
                <c:pt idx="3">
                  <c:v>0.56493503247126664</c:v>
                </c:pt>
                <c:pt idx="4">
                  <c:v>0.54734518729877835</c:v>
                </c:pt>
                <c:pt idx="5">
                  <c:v>0.56927722446404005</c:v>
                </c:pt>
                <c:pt idx="6">
                  <c:v>0.27765877177653381</c:v>
                </c:pt>
                <c:pt idx="7">
                  <c:v>0.30261298961564725</c:v>
                </c:pt>
                <c:pt idx="8">
                  <c:v>0.24776661054371529</c:v>
                </c:pt>
                <c:pt idx="9">
                  <c:v>0.28647534804241848</c:v>
                </c:pt>
                <c:pt idx="10">
                  <c:v>0.39820555471545982</c:v>
                </c:pt>
                <c:pt idx="11">
                  <c:v>0.37300267150562183</c:v>
                </c:pt>
              </c:numCache>
            </c:numRef>
          </c:val>
        </c:ser>
        <c:marker val="1"/>
        <c:axId val="52071808"/>
        <c:axId val="52143616"/>
      </c:lineChart>
      <c:catAx>
        <c:axId val="52071808"/>
        <c:scaling>
          <c:orientation val="minMax"/>
        </c:scaling>
        <c:axPos val="b"/>
        <c:title>
          <c:tx>
            <c:rich>
              <a:bodyPr/>
              <a:lstStyle/>
              <a:p>
                <a:pPr>
                  <a:defRPr sz="1200" b="1" i="0" u="none" strike="noStrike" baseline="0">
                    <a:solidFill>
                      <a:srgbClr val="000000"/>
                    </a:solidFill>
                    <a:latin typeface="Calibri"/>
                    <a:ea typeface="Calibri"/>
                    <a:cs typeface="Calibri"/>
                  </a:defRPr>
                </a:pPr>
                <a:r>
                  <a:rPr lang="en-GB" sz="1200"/>
                  <a:t>Year</a:t>
                </a:r>
              </a:p>
            </c:rich>
          </c:tx>
        </c:title>
        <c:numFmt formatCode="General" sourceLinked="1"/>
        <c:maj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52143616"/>
        <c:crosses val="autoZero"/>
        <c:auto val="1"/>
        <c:lblAlgn val="ctr"/>
        <c:lblOffset val="100"/>
      </c:catAx>
      <c:valAx>
        <c:axId val="52143616"/>
        <c:scaling>
          <c:orientation val="minMax"/>
          <c:max val="0.9"/>
        </c:scaling>
        <c:axPos val="l"/>
        <c:title>
          <c:tx>
            <c:rich>
              <a:bodyPr/>
              <a:lstStyle/>
              <a:p>
                <a:pPr>
                  <a:defRPr sz="1200" b="1" i="0" u="none" strike="noStrike" baseline="0">
                    <a:solidFill>
                      <a:srgbClr val="000000"/>
                    </a:solidFill>
                    <a:latin typeface="Calibri"/>
                    <a:ea typeface="Calibri"/>
                    <a:cs typeface="Calibri"/>
                  </a:defRPr>
                </a:pPr>
                <a:r>
                  <a:rPr lang="en-GB" sz="1200"/>
                  <a:t>Rate</a:t>
                </a:r>
              </a:p>
            </c:rich>
          </c:tx>
          <c:layout>
            <c:manualLayout>
              <c:xMode val="edge"/>
              <c:yMode val="edge"/>
              <c:x val="1.3888971425741593E-2"/>
              <c:y val="0.41020042949176805"/>
            </c:manualLayout>
          </c:layout>
        </c:title>
        <c:numFmt formatCode="0.0" sourceLinked="0"/>
        <c:maj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52071808"/>
        <c:crosses val="autoZero"/>
        <c:crossBetween val="between"/>
        <c:majorUnit val="0.1"/>
      </c:valAx>
      <c:spPr>
        <a:noFill/>
        <a:ln w="25400">
          <a:noFill/>
        </a:ln>
      </c:spPr>
    </c:plotArea>
    <c:dispBlanksAs val="gap"/>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0.52917</cdr:x>
      <cdr:y>0.07986</cdr:y>
    </cdr:from>
    <cdr:to>
      <cdr:x>0.97002</cdr:x>
      <cdr:y>0.16235</cdr:y>
    </cdr:to>
    <cdr:sp macro="" textlink="">
      <cdr:nvSpPr>
        <cdr:cNvPr id="2" name="TextBox 1"/>
        <cdr:cNvSpPr txBox="1"/>
      </cdr:nvSpPr>
      <cdr:spPr>
        <a:xfrm xmlns:a="http://schemas.openxmlformats.org/drawingml/2006/main">
          <a:off x="2691527" y="219075"/>
          <a:ext cx="2242335" cy="22629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en-GB" sz="900" b="1">
              <a:latin typeface="Calibri"/>
              <a:cs typeface="Arial" pitchFamily="34" charset="0"/>
            </a:rPr>
            <a:t>2004-2008 Baseline (5.1)</a:t>
          </a:r>
        </a:p>
      </cdr:txBody>
    </cdr:sp>
  </cdr:relSizeAnchor>
</c:userShapes>
</file>

<file path=word/drawings/drawing2.xml><?xml version="1.0" encoding="utf-8"?>
<c:userShapes xmlns:c="http://schemas.openxmlformats.org/drawingml/2006/chart">
  <cdr:relSizeAnchor xmlns:cdr="http://schemas.openxmlformats.org/drawingml/2006/chartDrawing">
    <cdr:from>
      <cdr:x>0.41042</cdr:x>
      <cdr:y>0.44792</cdr:y>
    </cdr:from>
    <cdr:to>
      <cdr:x>0.95872</cdr:x>
      <cdr:y>0.52038</cdr:y>
    </cdr:to>
    <cdr:sp macro="" textlink="">
      <cdr:nvSpPr>
        <cdr:cNvPr id="2" name="TextBox 1"/>
        <cdr:cNvSpPr txBox="1"/>
      </cdr:nvSpPr>
      <cdr:spPr>
        <a:xfrm xmlns:a="http://schemas.openxmlformats.org/drawingml/2006/main">
          <a:off x="1876425" y="1228725"/>
          <a:ext cx="2506860" cy="19878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en-GB" sz="900" b="1">
              <a:latin typeface="Calibri"/>
              <a:cs typeface="Arial" pitchFamily="34" charset="0"/>
            </a:rPr>
            <a:t>2004-2008 Baseline (6.5)</a:t>
          </a:r>
        </a:p>
      </cdr:txBody>
    </cdr:sp>
  </cdr:relSizeAnchor>
</c:userShapes>
</file>

<file path=word/drawings/drawing3.xml><?xml version="1.0" encoding="utf-8"?>
<c:userShapes xmlns:c="http://schemas.openxmlformats.org/drawingml/2006/chart">
  <cdr:relSizeAnchor xmlns:cdr="http://schemas.openxmlformats.org/drawingml/2006/chartDrawing">
    <cdr:from>
      <cdr:x>0.61628</cdr:x>
      <cdr:y>0.07926</cdr:y>
    </cdr:from>
    <cdr:to>
      <cdr:x>0.97147</cdr:x>
      <cdr:y>0.15691</cdr:y>
    </cdr:to>
    <cdr:sp macro="" textlink="">
      <cdr:nvSpPr>
        <cdr:cNvPr id="2" name="TextBox 1"/>
        <cdr:cNvSpPr txBox="1"/>
      </cdr:nvSpPr>
      <cdr:spPr>
        <a:xfrm xmlns:a="http://schemas.openxmlformats.org/drawingml/2006/main">
          <a:off x="3497162" y="289339"/>
          <a:ext cx="2015582" cy="28344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r"/>
          <a:r>
            <a:rPr lang="en-GB" sz="1100" b="1">
              <a:latin typeface="+mn-lt"/>
              <a:cs typeface="Arial" pitchFamily="34" charset="0"/>
            </a:rPr>
            <a:t>2004-2008 Baseline (0.6)</a:t>
          </a:r>
        </a:p>
      </cdr:txBody>
    </cdr:sp>
  </cdr:relSizeAnchor>
  <cdr:relSizeAnchor xmlns:cdr="http://schemas.openxmlformats.org/drawingml/2006/chartDrawing">
    <cdr:from>
      <cdr:x>0.19662</cdr:x>
      <cdr:y>0.47422</cdr:y>
    </cdr:from>
    <cdr:to>
      <cdr:x>0.45281</cdr:x>
      <cdr:y>0.57522</cdr:y>
    </cdr:to>
    <cdr:sp macro="" textlink="">
      <cdr:nvSpPr>
        <cdr:cNvPr id="5" name="TextBox 1"/>
        <cdr:cNvSpPr txBox="1"/>
      </cdr:nvSpPr>
      <cdr:spPr>
        <a:xfrm xmlns:a="http://schemas.openxmlformats.org/drawingml/2006/main">
          <a:off x="1115733" y="1731039"/>
          <a:ext cx="1453791" cy="36868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100" b="1">
              <a:latin typeface="+mn-lt"/>
              <a:cs typeface="Arial" pitchFamily="34" charset="0"/>
            </a:rPr>
            <a:t>Rate of Road Deaths</a:t>
          </a:r>
        </a:p>
      </cdr:txBody>
    </cdr:sp>
  </cdr:relSizeAnchor>
  <cdr:relSizeAnchor xmlns:cdr="http://schemas.openxmlformats.org/drawingml/2006/chartDrawing">
    <cdr:from>
      <cdr:x>0.34215</cdr:x>
      <cdr:y>0.3399</cdr:y>
    </cdr:from>
    <cdr:to>
      <cdr:x>0.40245</cdr:x>
      <cdr:y>0.4805</cdr:y>
    </cdr:to>
    <cdr:sp macro="" textlink="">
      <cdr:nvSpPr>
        <cdr:cNvPr id="11" name="Straight Arrow Connector 10"/>
        <cdr:cNvSpPr/>
      </cdr:nvSpPr>
      <cdr:spPr>
        <a:xfrm xmlns:a="http://schemas.openxmlformats.org/drawingml/2006/main" rot="5400000" flipH="1" flipV="1">
          <a:off x="1856078" y="1326255"/>
          <a:ext cx="513234" cy="342182"/>
        </a:xfrm>
        <a:prstGeom xmlns:a="http://schemas.openxmlformats.org/drawingml/2006/main" prst="straightConnector1">
          <a:avLst/>
        </a:prstGeom>
        <a:ln xmlns:a="http://schemas.openxmlformats.org/drawingml/2006/main">
          <a:solidFill>
            <a:srgbClr val="00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0.7738</cdr:x>
      <cdr:y>0.34705</cdr:y>
    </cdr:from>
    <cdr:to>
      <cdr:x>0.94837</cdr:x>
      <cdr:y>0.40706</cdr:y>
    </cdr:to>
    <cdr:sp macro="" textlink="">
      <cdr:nvSpPr>
        <cdr:cNvPr id="6" name="TextBox 5"/>
        <cdr:cNvSpPr txBox="1"/>
      </cdr:nvSpPr>
      <cdr:spPr>
        <a:xfrm xmlns:a="http://schemas.openxmlformats.org/drawingml/2006/main">
          <a:off x="4391024" y="1266829"/>
          <a:ext cx="990625" cy="2190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a:solidFill>
                <a:srgbClr val="FF0000"/>
              </a:solidFill>
            </a:rPr>
            <a:t>Using</a:t>
          </a:r>
          <a:r>
            <a:rPr lang="en-GB" sz="1100" baseline="0">
              <a:solidFill>
                <a:srgbClr val="FF0000"/>
              </a:solidFill>
            </a:rPr>
            <a:t> TSNI</a:t>
          </a:r>
          <a:endParaRPr lang="en-GB" sz="1100">
            <a:solidFill>
              <a:srgbClr val="FF0000"/>
            </a:solidFill>
          </a:endParaRPr>
        </a:p>
      </cdr:txBody>
    </cdr:sp>
  </cdr:relSizeAnchor>
  <cdr:relSizeAnchor xmlns:cdr="http://schemas.openxmlformats.org/drawingml/2006/chartDrawing">
    <cdr:from>
      <cdr:x>0.77547</cdr:x>
      <cdr:y>0.53492</cdr:y>
    </cdr:from>
    <cdr:to>
      <cdr:x>0.95004</cdr:x>
      <cdr:y>0.59494</cdr:y>
    </cdr:to>
    <cdr:sp macro="" textlink="">
      <cdr:nvSpPr>
        <cdr:cNvPr id="7" name="TextBox 1"/>
        <cdr:cNvSpPr txBox="1"/>
      </cdr:nvSpPr>
      <cdr:spPr>
        <a:xfrm xmlns:a="http://schemas.openxmlformats.org/drawingml/2006/main">
          <a:off x="4400550" y="1952625"/>
          <a:ext cx="990600" cy="21907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solidFill>
                <a:srgbClr val="78B832"/>
              </a:solidFill>
            </a:rPr>
            <a:t>Using</a:t>
          </a:r>
          <a:r>
            <a:rPr lang="en-GB" sz="1100" baseline="0">
              <a:solidFill>
                <a:srgbClr val="78B832"/>
              </a:solidFill>
            </a:rPr>
            <a:t> VKT</a:t>
          </a:r>
          <a:endParaRPr lang="en-GB" sz="1100">
            <a:solidFill>
              <a:srgbClr val="78B832"/>
            </a:solidFil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10</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Consultation of Northern Ireland Road Safety Strategy to 2020 Statistical Report – Upcoming Changes to the Publication</dc:title>
  <dc:subject>What are our priorities and how are we doing</dc:subject>
  <dc:creator>Analysis, Statistics &amp; Research Branch</dc:creator>
  <cp:keywords>User Consultation of Northern Ireland Road Safety Strategy to 2020 Statistical Report – Upcoming Changes to the Publication, Road Safety, Motorcyclist, Motor cycle, Pedal, cyclist, cycle, VKT, TSNI, User, Consultation</cp:keywords>
  <cp:lastModifiedBy>Helen Irwin</cp:lastModifiedBy>
  <cp:revision>26</cp:revision>
  <dcterms:created xsi:type="dcterms:W3CDTF">2017-06-29T12:44:00Z</dcterms:created>
  <dcterms:modified xsi:type="dcterms:W3CDTF">2017-07-07T12:42:00Z</dcterms:modified>
</cp:coreProperties>
</file>